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line="360" w:lineRule="auto"/>
        <w:jc w:val="right"/>
        <w:rPr>
          <w:rFonts w:hint="eastAsia" w:ascii="宋体" w:hAnsi="宋体" w:cs="宋体"/>
          <w:b/>
          <w:color w:val="000000"/>
          <w:sz w:val="24"/>
          <w:lang w:bidi="ar"/>
        </w:rPr>
      </w:pPr>
      <w:r>
        <w:rPr>
          <w:rFonts w:hint="eastAsia" w:ascii="宋体" w:hAnsi="宋体" w:cs="宋体"/>
          <w:b/>
          <w:color w:val="000000"/>
          <w:sz w:val="24"/>
          <w:lang w:bidi="ar"/>
        </w:rPr>
        <w:t xml:space="preserve"> 编号：[益航合字〔</w:t>
      </w:r>
      <w:r>
        <w:rPr>
          <w:rFonts w:hint="eastAsia" w:ascii="宋体" w:hAnsi="宋体" w:cs="宋体"/>
          <w:b/>
          <w:color w:val="000000"/>
          <w:sz w:val="24"/>
          <w:lang w:val="en-US" w:eastAsia="zh-CN" w:bidi="ar"/>
        </w:rPr>
        <w:t>2023</w:t>
      </w:r>
      <w:r>
        <w:rPr>
          <w:rFonts w:hint="eastAsia" w:ascii="宋体" w:hAnsi="宋体" w:cs="宋体"/>
          <w:b/>
          <w:color w:val="000000"/>
          <w:sz w:val="24"/>
          <w:lang w:bidi="ar"/>
        </w:rPr>
        <w:t>〕</w:t>
      </w:r>
      <w:r>
        <w:rPr>
          <w:rFonts w:hint="eastAsia" w:ascii="宋体" w:hAnsi="宋体" w:cs="宋体"/>
          <w:b/>
          <w:color w:val="000000"/>
          <w:sz w:val="24"/>
          <w:lang w:val="en-US" w:eastAsia="zh-CN" w:bidi="ar"/>
        </w:rPr>
        <w:t>XXX-XX</w:t>
      </w:r>
      <w:r>
        <w:rPr>
          <w:rFonts w:hint="eastAsia" w:ascii="宋体" w:hAnsi="宋体" w:cs="宋体"/>
          <w:b/>
          <w:color w:val="000000"/>
          <w:sz w:val="24"/>
          <w:lang w:bidi="ar"/>
        </w:rPr>
        <w:t>〔业〕号]</w:t>
      </w:r>
    </w:p>
    <w:p>
      <w:pPr>
        <w:spacing w:before="312" w:line="360" w:lineRule="auto"/>
        <w:ind w:right="480" w:firstLine="7447"/>
        <w:rPr>
          <w:rFonts w:ascii="宋体" w:hAnsi="宋体" w:cs="宋体"/>
          <w:b/>
          <w:color w:val="000000"/>
          <w:sz w:val="24"/>
        </w:rPr>
      </w:pPr>
    </w:p>
    <w:p>
      <w:pPr>
        <w:spacing w:before="312" w:line="360" w:lineRule="auto"/>
        <w:jc w:val="right"/>
        <w:rPr>
          <w:rFonts w:ascii="宋体" w:hAnsi="宋体" w:cs="宋体"/>
          <w:b/>
          <w:color w:val="000000"/>
          <w:sz w:val="24"/>
        </w:rPr>
      </w:pPr>
    </w:p>
    <w:p>
      <w:pPr>
        <w:spacing w:before="312" w:line="360" w:lineRule="auto"/>
        <w:jc w:val="right"/>
        <w:rPr>
          <w:rFonts w:ascii="宋体" w:hAnsi="宋体" w:cs="宋体"/>
          <w:b/>
          <w:color w:val="000000"/>
          <w:sz w:val="24"/>
        </w:rPr>
      </w:pPr>
    </w:p>
    <w:p>
      <w:pPr>
        <w:spacing w:before="312" w:line="360" w:lineRule="auto"/>
        <w:jc w:val="center"/>
        <w:rPr>
          <w:rFonts w:ascii="宋体" w:hAnsi="宋体" w:cs="宋体"/>
          <w:b/>
          <w:color w:val="000000"/>
          <w:sz w:val="36"/>
          <w:szCs w:val="36"/>
          <w:lang w:bidi="ar"/>
        </w:rPr>
      </w:pPr>
      <w:r>
        <w:rPr>
          <w:rFonts w:hint="eastAsia" w:ascii="宋体" w:hAnsi="宋体" w:cs="宋体"/>
          <w:b/>
          <w:color w:val="000000"/>
          <w:sz w:val="36"/>
          <w:szCs w:val="36"/>
          <w:lang w:bidi="ar"/>
        </w:rPr>
        <w:t>成都益航资产管理有限公司</w:t>
      </w:r>
    </w:p>
    <w:p>
      <w:pPr>
        <w:spacing w:before="312" w:line="360" w:lineRule="auto"/>
        <w:jc w:val="center"/>
        <w:rPr>
          <w:rFonts w:ascii="宋体" w:hAnsi="宋体" w:cs="宋体"/>
          <w:b/>
          <w:color w:val="000000"/>
          <w:sz w:val="36"/>
          <w:szCs w:val="36"/>
        </w:rPr>
      </w:pPr>
      <w:r>
        <w:rPr>
          <w:rFonts w:hint="eastAsia" w:ascii="宋体" w:hAnsi="宋体" w:cs="宋体"/>
          <w:b/>
          <w:color w:val="000000"/>
          <w:sz w:val="36"/>
          <w:szCs w:val="36"/>
          <w:lang w:bidi="ar"/>
        </w:rPr>
        <w:t>与</w:t>
      </w:r>
    </w:p>
    <w:p>
      <w:pPr>
        <w:spacing w:before="312" w:line="360" w:lineRule="auto"/>
        <w:jc w:val="center"/>
        <w:rPr>
          <w:rFonts w:hint="eastAsia" w:ascii="宋体" w:hAnsi="宋体" w:cs="宋体"/>
          <w:b/>
          <w:color w:val="000000"/>
          <w:sz w:val="36"/>
          <w:szCs w:val="36"/>
          <w:lang w:bidi="ar"/>
        </w:rPr>
      </w:pPr>
      <w:r>
        <w:rPr>
          <w:rFonts w:hint="eastAsia" w:ascii="宋体" w:hAnsi="宋体" w:cs="宋体"/>
          <w:b/>
          <w:color w:val="000000"/>
          <w:sz w:val="36"/>
          <w:szCs w:val="36"/>
          <w:lang w:bidi="ar"/>
        </w:rPr>
        <w:t>[</w:t>
      </w:r>
      <w:r>
        <w:rPr>
          <w:rFonts w:hint="eastAsia" w:ascii="宋体" w:hAnsi="宋体" w:cs="宋体"/>
          <w:b/>
          <w:color w:val="000000"/>
          <w:sz w:val="36"/>
          <w:szCs w:val="36"/>
          <w:lang w:val="en-US" w:eastAsia="zh-CN" w:bidi="ar"/>
        </w:rPr>
        <w:t xml:space="preserve">                  </w:t>
      </w:r>
      <w:r>
        <w:rPr>
          <w:rFonts w:hint="eastAsia" w:ascii="宋体" w:hAnsi="宋体" w:cs="宋体"/>
          <w:b/>
          <w:color w:val="000000"/>
          <w:sz w:val="36"/>
          <w:szCs w:val="36"/>
          <w:lang w:bidi="ar"/>
        </w:rPr>
        <w:t>]</w:t>
      </w:r>
    </w:p>
    <w:p>
      <w:pPr>
        <w:spacing w:before="312" w:line="360" w:lineRule="auto"/>
        <w:jc w:val="center"/>
        <w:rPr>
          <w:rFonts w:ascii="宋体" w:hAnsi="宋体" w:cs="宋体"/>
          <w:b/>
          <w:color w:val="000000"/>
          <w:sz w:val="36"/>
          <w:szCs w:val="36"/>
        </w:rPr>
      </w:pPr>
      <w:r>
        <w:rPr>
          <w:rFonts w:hint="eastAsia" w:ascii="宋体" w:hAnsi="宋体" w:cs="宋体"/>
          <w:b/>
          <w:color w:val="000000"/>
          <w:sz w:val="36"/>
          <w:szCs w:val="36"/>
          <w:lang w:bidi="ar"/>
        </w:rPr>
        <w:t>之</w:t>
      </w:r>
    </w:p>
    <w:p>
      <w:pPr>
        <w:spacing w:before="312" w:line="360" w:lineRule="auto"/>
        <w:jc w:val="center"/>
        <w:rPr>
          <w:rFonts w:ascii="宋体" w:hAnsi="宋体" w:cs="宋体"/>
          <w:b/>
          <w:color w:val="000000"/>
          <w:sz w:val="36"/>
          <w:szCs w:val="36"/>
        </w:rPr>
      </w:pPr>
      <w:r>
        <w:rPr>
          <w:rFonts w:hint="eastAsia" w:ascii="宋体" w:hAnsi="宋体" w:cs="宋体"/>
          <w:b/>
          <w:color w:val="000000"/>
          <w:sz w:val="36"/>
          <w:szCs w:val="36"/>
          <w:lang w:bidi="ar"/>
        </w:rPr>
        <w:t>债权转让合同</w:t>
      </w:r>
    </w:p>
    <w:p>
      <w:pPr>
        <w:spacing w:before="312" w:line="360" w:lineRule="auto"/>
        <w:jc w:val="center"/>
        <w:rPr>
          <w:rFonts w:ascii="宋体" w:hAnsi="宋体" w:cs="宋体"/>
          <w:b/>
          <w:color w:val="000000"/>
          <w:sz w:val="24"/>
        </w:rPr>
      </w:pPr>
    </w:p>
    <w:p>
      <w:pPr>
        <w:tabs>
          <w:tab w:val="left" w:pos="6465"/>
        </w:tabs>
        <w:spacing w:before="312" w:line="360" w:lineRule="auto"/>
        <w:jc w:val="left"/>
        <w:rPr>
          <w:rFonts w:ascii="宋体" w:hAnsi="宋体" w:cs="宋体"/>
          <w:b/>
          <w:color w:val="000000"/>
          <w:sz w:val="24"/>
        </w:rPr>
      </w:pPr>
      <w:r>
        <w:rPr>
          <w:rFonts w:hint="eastAsia" w:ascii="宋体" w:hAnsi="宋体" w:cs="宋体"/>
          <w:b/>
          <w:color w:val="000000"/>
          <w:sz w:val="24"/>
          <w:lang w:bidi="ar"/>
        </w:rPr>
        <w:tab/>
      </w:r>
    </w:p>
    <w:p>
      <w:pPr>
        <w:spacing w:before="312" w:line="360" w:lineRule="auto"/>
        <w:jc w:val="center"/>
        <w:rPr>
          <w:rFonts w:ascii="宋体" w:hAnsi="宋体" w:cs="宋体"/>
          <w:b/>
          <w:color w:val="000000"/>
          <w:sz w:val="24"/>
        </w:rPr>
      </w:pPr>
    </w:p>
    <w:p>
      <w:pPr>
        <w:spacing w:before="312" w:line="360" w:lineRule="auto"/>
        <w:rPr>
          <w:rFonts w:ascii="宋体" w:hAnsi="宋体" w:cs="宋体"/>
          <w:b/>
          <w:color w:val="000000"/>
          <w:sz w:val="24"/>
        </w:rPr>
      </w:pPr>
    </w:p>
    <w:p>
      <w:pPr>
        <w:spacing w:before="312" w:line="360" w:lineRule="auto"/>
        <w:rPr>
          <w:rFonts w:ascii="宋体" w:hAnsi="宋体" w:cs="宋体"/>
          <w:b/>
          <w:color w:val="000000"/>
          <w:sz w:val="24"/>
        </w:rPr>
      </w:pPr>
    </w:p>
    <w:p>
      <w:pPr>
        <w:spacing w:before="312" w:line="360" w:lineRule="auto"/>
        <w:jc w:val="center"/>
        <w:rPr>
          <w:rFonts w:ascii="宋体" w:hAnsi="宋体" w:cs="宋体"/>
          <w:b/>
          <w:color w:val="000000"/>
          <w:sz w:val="24"/>
        </w:rPr>
      </w:pPr>
      <w:r>
        <w:rPr>
          <w:rFonts w:hint="eastAsia" w:ascii="宋体" w:hAnsi="宋体" w:cs="宋体"/>
          <w:b/>
          <w:color w:val="000000"/>
          <w:sz w:val="24"/>
          <w:lang w:bidi="ar"/>
        </w:rPr>
        <w:t>[</w:t>
      </w:r>
      <w:r>
        <w:rPr>
          <w:rFonts w:hint="eastAsia" w:ascii="宋体" w:hAnsi="宋体" w:cs="宋体"/>
          <w:b/>
          <w:color w:val="000000"/>
          <w:sz w:val="24"/>
          <w:u w:val="single"/>
          <w:lang w:bidi="ar"/>
        </w:rPr>
        <w:t xml:space="preserve">    </w:t>
      </w:r>
      <w:r>
        <w:rPr>
          <w:rFonts w:hint="eastAsia" w:ascii="宋体" w:hAnsi="宋体" w:cs="宋体"/>
          <w:b/>
          <w:color w:val="000000"/>
          <w:sz w:val="24"/>
          <w:lang w:bidi="ar"/>
        </w:rPr>
        <w:t>]年[</w:t>
      </w:r>
      <w:r>
        <w:rPr>
          <w:rFonts w:hint="eastAsia" w:ascii="宋体" w:hAnsi="宋体" w:cs="宋体"/>
          <w:b/>
          <w:color w:val="000000"/>
          <w:sz w:val="24"/>
          <w:u w:val="single"/>
          <w:lang w:bidi="ar"/>
        </w:rPr>
        <w:t xml:space="preserve">  </w:t>
      </w:r>
      <w:r>
        <w:rPr>
          <w:rFonts w:hint="eastAsia" w:ascii="宋体" w:hAnsi="宋体" w:cs="宋体"/>
          <w:b/>
          <w:color w:val="000000"/>
          <w:sz w:val="24"/>
          <w:lang w:bidi="ar"/>
        </w:rPr>
        <w:t>]月[</w:t>
      </w:r>
      <w:r>
        <w:rPr>
          <w:rFonts w:hint="eastAsia" w:ascii="宋体" w:hAnsi="宋体" w:cs="宋体"/>
          <w:b/>
          <w:color w:val="000000"/>
          <w:sz w:val="24"/>
          <w:u w:val="single"/>
          <w:lang w:bidi="ar"/>
        </w:rPr>
        <w:t xml:space="preserve">  </w:t>
      </w:r>
      <w:r>
        <w:rPr>
          <w:rFonts w:hint="eastAsia" w:ascii="宋体" w:hAnsi="宋体" w:cs="宋体"/>
          <w:b/>
          <w:color w:val="000000"/>
          <w:sz w:val="24"/>
          <w:lang w:bidi="ar"/>
        </w:rPr>
        <w:t>]日</w:t>
      </w:r>
    </w:p>
    <w:p>
      <w:pPr>
        <w:spacing w:before="312" w:line="360" w:lineRule="auto"/>
        <w:rPr>
          <w:rFonts w:ascii="宋体" w:hAnsi="宋体" w:cs="宋体"/>
          <w:b/>
          <w:color w:val="000000"/>
          <w:sz w:val="36"/>
          <w:szCs w:val="36"/>
          <w:lang w:bidi="ar"/>
        </w:rPr>
      </w:pPr>
    </w:p>
    <w:p>
      <w:pPr>
        <w:spacing w:before="312" w:line="360" w:lineRule="auto"/>
        <w:jc w:val="center"/>
        <w:rPr>
          <w:rFonts w:ascii="宋体" w:hAnsi="宋体" w:cs="宋体"/>
          <w:b/>
          <w:color w:val="000000"/>
          <w:sz w:val="36"/>
          <w:szCs w:val="36"/>
        </w:rPr>
      </w:pPr>
      <w:r>
        <w:rPr>
          <w:rFonts w:hint="eastAsia" w:ascii="宋体" w:hAnsi="宋体" w:cs="宋体"/>
          <w:b/>
          <w:color w:val="000000"/>
          <w:sz w:val="36"/>
          <w:szCs w:val="36"/>
          <w:lang w:bidi="ar"/>
        </w:rPr>
        <w:t>债权转让合同</w:t>
      </w:r>
    </w:p>
    <w:p>
      <w:pPr>
        <w:spacing w:before="312" w:line="360" w:lineRule="auto"/>
        <w:jc w:val="center"/>
        <w:rPr>
          <w:rFonts w:ascii="宋体" w:hAnsi="宋体" w:cs="宋体"/>
          <w:b/>
          <w:color w:val="000000"/>
          <w:sz w:val="36"/>
          <w:szCs w:val="36"/>
        </w:rPr>
      </w:pPr>
    </w:p>
    <w:p>
      <w:pPr>
        <w:spacing w:line="480" w:lineRule="exact"/>
        <w:ind w:firstLine="480"/>
        <w:rPr>
          <w:rFonts w:ascii="宋体" w:hAnsi="宋体" w:cs="宋体"/>
          <w:color w:val="000000"/>
          <w:sz w:val="24"/>
        </w:rPr>
      </w:pPr>
      <w:r>
        <w:rPr>
          <w:rFonts w:hint="eastAsia" w:ascii="宋体" w:hAnsi="宋体" w:cs="宋体"/>
          <w:color w:val="000000"/>
          <w:sz w:val="24"/>
          <w:lang w:bidi="ar"/>
        </w:rPr>
        <w:t>本《债权转让合同》（以下简称“本合同”）由以下双方主体于[</w:t>
      </w:r>
      <w:r>
        <w:rPr>
          <w:rFonts w:hint="eastAsia" w:ascii="宋体" w:hAnsi="宋体" w:cs="宋体"/>
          <w:color w:val="000000"/>
          <w:sz w:val="24"/>
          <w:u w:val="single"/>
          <w:lang w:bidi="ar"/>
        </w:rPr>
        <w:t xml:space="preserve">     </w:t>
      </w:r>
      <w:r>
        <w:rPr>
          <w:rFonts w:hint="eastAsia" w:ascii="宋体" w:hAnsi="宋体" w:cs="宋体"/>
          <w:color w:val="000000"/>
          <w:sz w:val="24"/>
          <w:lang w:bidi="ar"/>
        </w:rPr>
        <w:t>]年[</w:t>
      </w:r>
      <w:r>
        <w:rPr>
          <w:rFonts w:hint="eastAsia" w:ascii="宋体" w:hAnsi="宋体" w:cs="宋体"/>
          <w:color w:val="000000"/>
          <w:sz w:val="24"/>
          <w:u w:val="single"/>
          <w:lang w:bidi="ar"/>
        </w:rPr>
        <w:t xml:space="preserve">    </w:t>
      </w:r>
      <w:r>
        <w:rPr>
          <w:rFonts w:hint="eastAsia" w:ascii="宋体" w:hAnsi="宋体" w:cs="宋体"/>
          <w:color w:val="000000"/>
          <w:sz w:val="24"/>
          <w:lang w:bidi="ar"/>
        </w:rPr>
        <w:t>]月[</w:t>
      </w:r>
      <w:r>
        <w:rPr>
          <w:rFonts w:hint="eastAsia" w:ascii="宋体" w:hAnsi="宋体" w:cs="宋体"/>
          <w:color w:val="000000"/>
          <w:sz w:val="24"/>
          <w:u w:val="single"/>
          <w:lang w:bidi="ar"/>
        </w:rPr>
        <w:t xml:space="preserve">    </w:t>
      </w:r>
      <w:r>
        <w:rPr>
          <w:rFonts w:hint="eastAsia" w:ascii="宋体" w:hAnsi="宋体" w:cs="宋体"/>
          <w:color w:val="000000"/>
          <w:sz w:val="24"/>
          <w:lang w:bidi="ar"/>
        </w:rPr>
        <w:t>]日于成都市高新区签署：</w:t>
      </w:r>
    </w:p>
    <w:p>
      <w:pPr>
        <w:spacing w:line="480" w:lineRule="exact"/>
        <w:ind w:firstLine="480"/>
        <w:rPr>
          <w:rFonts w:ascii="宋体" w:hAnsi="宋体" w:cs="宋体"/>
          <w:color w:val="000000"/>
          <w:sz w:val="24"/>
        </w:rPr>
      </w:pPr>
    </w:p>
    <w:p>
      <w:pPr>
        <w:spacing w:line="480" w:lineRule="exact"/>
        <w:ind w:firstLine="480"/>
        <w:rPr>
          <w:rFonts w:ascii="宋体" w:hAnsi="宋体" w:cs="宋体"/>
          <w:b/>
          <w:color w:val="000000"/>
          <w:sz w:val="24"/>
          <w:lang w:bidi="ar"/>
        </w:rPr>
      </w:pPr>
      <w:r>
        <w:rPr>
          <w:rFonts w:hint="eastAsia" w:ascii="宋体" w:hAnsi="宋体" w:cs="宋体"/>
          <w:b/>
          <w:color w:val="000000"/>
          <w:sz w:val="24"/>
          <w:lang w:bidi="ar"/>
        </w:rPr>
        <w:t>转让方（甲方）：</w:t>
      </w:r>
      <w:r>
        <w:rPr>
          <w:rFonts w:hint="eastAsia" w:ascii="宋体" w:hAnsi="宋体" w:eastAsia="宋体" w:cs="宋体"/>
          <w:b/>
          <w:color w:val="000000"/>
          <w:sz w:val="24"/>
          <w:szCs w:val="24"/>
          <w:lang w:bidi="ar"/>
        </w:rPr>
        <w:t>成都益航资产管理有限公司</w:t>
      </w:r>
    </w:p>
    <w:p>
      <w:pPr>
        <w:spacing w:before="156" w:line="480" w:lineRule="exact"/>
        <w:ind w:firstLine="480"/>
        <w:jc w:val="left"/>
        <w:rPr>
          <w:rFonts w:ascii="宋体" w:hAnsi="宋体" w:cs="宋体"/>
          <w:color w:val="000000"/>
          <w:sz w:val="24"/>
        </w:rPr>
      </w:pPr>
      <w:r>
        <w:rPr>
          <w:rFonts w:hint="eastAsia" w:ascii="宋体" w:hAnsi="宋体" w:cs="宋体"/>
          <w:color w:val="000000"/>
          <w:sz w:val="24"/>
          <w:lang w:bidi="ar"/>
        </w:rPr>
        <w:t>住所：</w:t>
      </w:r>
      <w:r>
        <w:rPr>
          <w:rFonts w:hint="eastAsia" w:ascii="宋体" w:hAnsi="宋体" w:cs="宋体"/>
          <w:color w:val="000000"/>
          <w:sz w:val="24"/>
          <w:lang w:val="zh-TW" w:bidi="ar"/>
        </w:rPr>
        <w:t>中国（四川）自由贸易试验区成都高新区</w:t>
      </w:r>
      <w:r>
        <w:rPr>
          <w:rFonts w:hint="eastAsia" w:ascii="宋体" w:hAnsi="宋体" w:cs="宋体"/>
          <w:color w:val="000000"/>
          <w:sz w:val="24"/>
          <w:lang w:bidi="ar"/>
        </w:rPr>
        <w:t xml:space="preserve">天府大道北段966号11号楼33-34层      </w:t>
      </w:r>
    </w:p>
    <w:p>
      <w:pPr>
        <w:spacing w:line="480" w:lineRule="exact"/>
        <w:ind w:firstLine="480"/>
        <w:rPr>
          <w:rFonts w:ascii="宋体" w:hAnsi="宋体" w:cs="宋体"/>
          <w:color w:val="000000"/>
          <w:sz w:val="24"/>
          <w:lang w:bidi="ar"/>
        </w:rPr>
      </w:pPr>
      <w:r>
        <w:rPr>
          <w:rFonts w:hint="eastAsia" w:ascii="宋体" w:hAnsi="宋体" w:cs="宋体"/>
          <w:color w:val="000000"/>
          <w:sz w:val="24"/>
          <w:lang w:bidi="ar"/>
        </w:rPr>
        <w:t>法定代表人：刘顺娟</w:t>
      </w:r>
    </w:p>
    <w:p>
      <w:pPr>
        <w:spacing w:line="480" w:lineRule="exact"/>
        <w:ind w:firstLine="480"/>
        <w:rPr>
          <w:rFonts w:ascii="宋体" w:hAnsi="宋体" w:cs="宋体"/>
          <w:b/>
          <w:color w:val="000000"/>
          <w:sz w:val="24"/>
        </w:rPr>
      </w:pPr>
    </w:p>
    <w:p>
      <w:pPr>
        <w:spacing w:line="480" w:lineRule="exact"/>
        <w:ind w:firstLine="480"/>
        <w:rPr>
          <w:rFonts w:hint="default" w:ascii="宋体" w:hAnsi="宋体" w:cs="宋体"/>
          <w:b/>
          <w:color w:val="000000"/>
          <w:sz w:val="24"/>
          <w:lang w:val="en-US" w:bidi="ar"/>
        </w:rPr>
      </w:pPr>
      <w:r>
        <w:rPr>
          <w:rFonts w:hint="eastAsia" w:ascii="宋体" w:hAnsi="宋体" w:cs="宋体"/>
          <w:b/>
          <w:color w:val="000000"/>
          <w:sz w:val="24"/>
          <w:lang w:bidi="ar"/>
        </w:rPr>
        <w:t>受让方（乙方）：</w:t>
      </w:r>
      <w:r>
        <w:rPr>
          <w:rFonts w:hint="eastAsia" w:ascii="宋体" w:hAnsi="宋体" w:cs="宋体"/>
          <w:b/>
          <w:color w:val="000000"/>
          <w:sz w:val="24"/>
          <w:szCs w:val="24"/>
          <w:lang w:val="en-US" w:eastAsia="zh-CN" w:bidi="ar"/>
        </w:rPr>
        <w:t xml:space="preserve">                     </w:t>
      </w:r>
    </w:p>
    <w:p>
      <w:pPr>
        <w:spacing w:line="480" w:lineRule="exact"/>
        <w:ind w:firstLine="480"/>
        <w:rPr>
          <w:rFonts w:hint="eastAsia" w:ascii="宋体" w:hAnsi="宋体" w:cs="宋体"/>
          <w:color w:val="000000"/>
          <w:sz w:val="24"/>
          <w:lang w:val="en-US" w:eastAsia="zh-CN" w:bidi="ar"/>
        </w:rPr>
      </w:pPr>
      <w:r>
        <w:rPr>
          <w:rFonts w:hint="eastAsia" w:ascii="宋体" w:hAnsi="宋体" w:cs="宋体"/>
          <w:color w:val="000000"/>
          <w:sz w:val="24"/>
          <w:lang w:bidi="ar"/>
        </w:rPr>
        <w:t>地址/住所：</w:t>
      </w:r>
      <w:r>
        <w:rPr>
          <w:rFonts w:hint="eastAsia" w:ascii="宋体" w:hAnsi="宋体" w:cs="宋体"/>
          <w:color w:val="000000"/>
          <w:sz w:val="24"/>
          <w:lang w:val="en-US" w:eastAsia="zh-CN" w:bidi="ar"/>
        </w:rPr>
        <w:t xml:space="preserve">  </w:t>
      </w:r>
    </w:p>
    <w:p>
      <w:pPr>
        <w:spacing w:line="480" w:lineRule="exact"/>
        <w:ind w:firstLine="480"/>
        <w:rPr>
          <w:rFonts w:hint="default" w:ascii="宋体" w:hAnsi="宋体" w:eastAsia="宋体" w:cs="宋体"/>
          <w:color w:val="000000"/>
          <w:sz w:val="24"/>
          <w:lang w:val="en-US" w:eastAsia="zh-CN" w:bidi="ar"/>
        </w:rPr>
      </w:pPr>
      <w:r>
        <w:rPr>
          <w:rFonts w:hint="eastAsia" w:ascii="宋体" w:hAnsi="宋体" w:cs="宋体"/>
          <w:color w:val="000000"/>
          <w:sz w:val="24"/>
          <w:lang w:bidi="ar"/>
        </w:rPr>
        <w:t>法定代表人：</w:t>
      </w:r>
      <w:r>
        <w:rPr>
          <w:rFonts w:hint="eastAsia" w:ascii="宋体" w:hAnsi="宋体" w:cs="宋体"/>
          <w:color w:val="000000"/>
          <w:sz w:val="24"/>
          <w:lang w:val="en-US" w:eastAsia="zh-CN" w:bidi="ar"/>
        </w:rPr>
        <w:t xml:space="preserve">  </w:t>
      </w:r>
    </w:p>
    <w:p>
      <w:pPr>
        <w:pStyle w:val="20"/>
        <w:spacing w:line="480" w:lineRule="exact"/>
        <w:ind w:firstLine="480"/>
        <w:rPr>
          <w:rFonts w:ascii="宋体" w:hAnsi="宋体" w:cs="宋体"/>
          <w:color w:val="000000"/>
          <w:sz w:val="24"/>
          <w:lang w:bidi="ar"/>
        </w:rPr>
      </w:pPr>
    </w:p>
    <w:p>
      <w:pPr>
        <w:spacing w:line="480" w:lineRule="exact"/>
        <w:ind w:firstLine="480"/>
        <w:rPr>
          <w:rFonts w:ascii="宋体" w:hAnsi="宋体" w:cs="宋体"/>
          <w:color w:val="000000"/>
          <w:sz w:val="24"/>
        </w:rPr>
      </w:pPr>
      <w:r>
        <w:rPr>
          <w:rFonts w:hint="eastAsia" w:ascii="宋体" w:hAnsi="宋体" w:cs="宋体"/>
          <w:color w:val="000000"/>
          <w:sz w:val="24"/>
          <w:lang w:bidi="ar"/>
        </w:rPr>
        <w:t>上述主体单称“一方”，合称“双方”。</w:t>
      </w:r>
    </w:p>
    <w:p>
      <w:pPr>
        <w:spacing w:line="480" w:lineRule="exact"/>
        <w:ind w:firstLine="480"/>
        <w:rPr>
          <w:rFonts w:ascii="宋体" w:hAnsi="宋体" w:cs="宋体"/>
          <w:b/>
          <w:color w:val="000000"/>
          <w:sz w:val="24"/>
        </w:rPr>
      </w:pPr>
    </w:p>
    <w:p>
      <w:pPr>
        <w:spacing w:line="480" w:lineRule="exact"/>
        <w:ind w:firstLine="480"/>
        <w:rPr>
          <w:rFonts w:ascii="宋体" w:hAnsi="宋体" w:cs="宋体"/>
          <w:color w:val="000000"/>
          <w:sz w:val="24"/>
        </w:rPr>
      </w:pPr>
      <w:r>
        <w:rPr>
          <w:rFonts w:hint="eastAsia" w:ascii="宋体" w:hAnsi="宋体" w:cs="宋体"/>
          <w:color w:val="000000"/>
          <w:sz w:val="24"/>
          <w:lang w:bidi="ar"/>
        </w:rPr>
        <w:t>合同中凡标有“□”之处，选择的请打“√”，不选择的请打“×”。</w:t>
      </w:r>
    </w:p>
    <w:p>
      <w:pPr>
        <w:spacing w:line="480" w:lineRule="exact"/>
        <w:ind w:firstLine="480"/>
        <w:rPr>
          <w:rFonts w:ascii="宋体" w:hAnsi="宋体" w:cs="宋体"/>
          <w:b/>
          <w:color w:val="000000"/>
          <w:sz w:val="24"/>
        </w:rPr>
      </w:pPr>
    </w:p>
    <w:p>
      <w:pPr>
        <w:spacing w:line="480" w:lineRule="exact"/>
        <w:ind w:firstLine="480"/>
        <w:rPr>
          <w:rFonts w:ascii="宋体" w:hAnsi="宋体" w:cs="宋体"/>
          <w:b/>
          <w:color w:val="000000"/>
          <w:sz w:val="24"/>
        </w:rPr>
      </w:pPr>
      <w:r>
        <w:rPr>
          <w:rFonts w:hint="eastAsia" w:ascii="宋体" w:hAnsi="宋体" w:cs="宋体"/>
          <w:b/>
          <w:color w:val="000000"/>
          <w:sz w:val="24"/>
          <w:lang w:bidi="ar"/>
        </w:rPr>
        <w:t xml:space="preserve">鉴于：  </w:t>
      </w:r>
    </w:p>
    <w:p>
      <w:pPr>
        <w:numPr>
          <w:ilvl w:val="0"/>
          <w:numId w:val="1"/>
        </w:numPr>
        <w:spacing w:line="480" w:lineRule="exact"/>
        <w:ind w:left="0" w:firstLine="480"/>
        <w:rPr>
          <w:rFonts w:ascii="宋体" w:hAnsi="宋体" w:cs="宋体"/>
          <w:color w:val="000000"/>
          <w:sz w:val="24"/>
        </w:rPr>
      </w:pPr>
      <w:r>
        <w:rPr>
          <w:rFonts w:hint="eastAsia" w:ascii="宋体" w:hAnsi="宋体" w:cs="宋体"/>
          <w:color w:val="000000"/>
          <w:sz w:val="24"/>
          <w:lang w:bidi="ar"/>
        </w:rPr>
        <w:t>甲方系经四川省人民政府批准成立的，专门从事包括银行不良贷款等金融不良资产处置的国有控股资产管理公司。</w:t>
      </w:r>
    </w:p>
    <w:p>
      <w:pPr>
        <w:numPr>
          <w:ilvl w:val="0"/>
          <w:numId w:val="1"/>
        </w:numPr>
        <w:spacing w:line="480" w:lineRule="exact"/>
        <w:ind w:left="0" w:firstLine="480"/>
        <w:rPr>
          <w:rFonts w:ascii="宋体" w:hAnsi="宋体" w:cs="宋体"/>
          <w:color w:val="000000"/>
          <w:sz w:val="24"/>
        </w:rPr>
      </w:pPr>
      <w:r>
        <w:rPr>
          <w:rFonts w:hint="eastAsia" w:ascii="宋体" w:hAnsi="宋体" w:cs="宋体"/>
          <w:color w:val="000000"/>
          <w:sz w:val="24"/>
          <w:lang w:bidi="ar"/>
        </w:rPr>
        <w:t>乙方系</w:t>
      </w:r>
      <w:r>
        <w:rPr>
          <w:rFonts w:ascii="Wingdings 2" w:hAnsi="Wingdings 2" w:eastAsia="Wingdings 2" w:cs="Wingdings 2"/>
          <w:color w:val="000000"/>
          <w:sz w:val="24"/>
          <w:lang w:bidi="ar"/>
        </w:rPr>
        <w:sym w:font="Wingdings 2" w:char="00A3"/>
      </w:r>
      <w:r>
        <w:rPr>
          <w:rFonts w:hint="eastAsia" w:ascii="宋体" w:hAnsi="宋体" w:cs="宋体"/>
          <w:color w:val="000000"/>
          <w:sz w:val="24"/>
          <w:lang w:bidi="ar"/>
        </w:rPr>
        <w:t>依据中国法律设立并有效存续的有限公司</w:t>
      </w:r>
      <w:r>
        <w:rPr>
          <w:rFonts w:ascii="Wingdings 2" w:hAnsi="Wingdings 2" w:eastAsia="Wingdings 2" w:cs="Wingdings 2"/>
          <w:color w:val="000000"/>
          <w:sz w:val="24"/>
          <w:lang w:bidi="ar"/>
        </w:rPr>
        <w:t></w:t>
      </w:r>
      <w:r>
        <w:rPr>
          <w:rFonts w:hint="eastAsia" w:ascii="宋体" w:hAnsi="宋体" w:cs="宋体"/>
          <w:color w:val="000000"/>
          <w:sz w:val="24"/>
          <w:lang w:bidi="ar"/>
        </w:rPr>
        <w:t>具备完全民事行为能力的自然人。</w:t>
      </w:r>
    </w:p>
    <w:p>
      <w:pPr>
        <w:numPr>
          <w:ilvl w:val="0"/>
          <w:numId w:val="1"/>
        </w:numPr>
        <w:spacing w:line="480" w:lineRule="exact"/>
        <w:ind w:left="0" w:firstLine="480"/>
        <w:rPr>
          <w:rFonts w:ascii="宋体" w:hAnsi="宋体" w:cs="宋体"/>
          <w:color w:val="000000"/>
          <w:sz w:val="24"/>
        </w:rPr>
      </w:pPr>
      <w:r>
        <w:rPr>
          <w:rFonts w:hint="eastAsia" w:ascii="宋体" w:hAnsi="宋体" w:cs="宋体"/>
          <w:color w:val="000000"/>
          <w:sz w:val="24"/>
          <w:lang w:bidi="ar"/>
        </w:rPr>
        <w:t>甲方同意按照本合同约定的条款和条件向乙方转让其现有的标的债权（定义见下文，标的债权清单见附件），乙方同意按照本合同约定的条款和条件受让上述标的债权。</w:t>
      </w:r>
    </w:p>
    <w:p>
      <w:pPr>
        <w:spacing w:line="480" w:lineRule="exact"/>
        <w:ind w:firstLine="480"/>
        <w:rPr>
          <w:rFonts w:ascii="宋体" w:hAnsi="宋体" w:cs="宋体"/>
          <w:color w:val="000000"/>
          <w:sz w:val="24"/>
        </w:rPr>
      </w:pPr>
      <w:r>
        <w:rPr>
          <w:rFonts w:hint="eastAsia" w:ascii="宋体" w:hAnsi="宋体" w:cs="宋体"/>
          <w:color w:val="000000"/>
          <w:sz w:val="24"/>
          <w:lang w:bidi="ar"/>
        </w:rPr>
        <w:t>现双方经平等协商，根据《中华人民共和国民法典》等相关法律的规定，就甲方向乙方转让标的债权事宜，达成如下条款，以兹信守。</w:t>
      </w:r>
    </w:p>
    <w:p>
      <w:pPr>
        <w:spacing w:line="480" w:lineRule="exact"/>
        <w:ind w:firstLine="480"/>
        <w:rPr>
          <w:rFonts w:ascii="宋体" w:hAnsi="宋体" w:cs="宋体"/>
          <w:color w:val="000000"/>
          <w:sz w:val="24"/>
        </w:rPr>
      </w:pPr>
    </w:p>
    <w:p>
      <w:pPr>
        <w:numPr>
          <w:ilvl w:val="0"/>
          <w:numId w:val="2"/>
        </w:numPr>
        <w:spacing w:line="480" w:lineRule="exact"/>
        <w:ind w:left="0" w:firstLine="480"/>
        <w:outlineLvl w:val="0"/>
        <w:rPr>
          <w:rFonts w:ascii="宋体" w:hAnsi="宋体" w:cs="宋体"/>
          <w:b/>
          <w:color w:val="000000"/>
          <w:sz w:val="24"/>
        </w:rPr>
      </w:pPr>
      <w:bookmarkStart w:id="0" w:name="_Toc260831400"/>
      <w:bookmarkEnd w:id="0"/>
      <w:bookmarkStart w:id="1" w:name="_Toc260831616"/>
      <w:bookmarkEnd w:id="1"/>
      <w:bookmarkStart w:id="2" w:name="_Toc260835994"/>
      <w:bookmarkEnd w:id="2"/>
      <w:bookmarkStart w:id="3" w:name="_Toc260835676"/>
      <w:bookmarkEnd w:id="3"/>
      <w:bookmarkStart w:id="4" w:name="_Toc379873861"/>
      <w:bookmarkStart w:id="5" w:name="_Toc174767281"/>
      <w:bookmarkStart w:id="6" w:name="_Toc155085467"/>
      <w:r>
        <w:rPr>
          <w:rFonts w:hint="eastAsia" w:ascii="宋体" w:hAnsi="宋体" w:cs="宋体"/>
          <w:b/>
          <w:color w:val="000000"/>
          <w:sz w:val="24"/>
          <w:lang w:bidi="ar"/>
        </w:rPr>
        <w:t>定义</w:t>
      </w:r>
      <w:bookmarkEnd w:id="4"/>
      <w:bookmarkEnd w:id="5"/>
      <w:bookmarkEnd w:id="6"/>
    </w:p>
    <w:p>
      <w:pPr>
        <w:spacing w:line="480" w:lineRule="exact"/>
        <w:ind w:firstLine="480"/>
        <w:rPr>
          <w:rFonts w:ascii="宋体" w:hAnsi="宋体" w:cs="宋体"/>
          <w:color w:val="000000"/>
          <w:sz w:val="24"/>
        </w:rPr>
      </w:pPr>
      <w:r>
        <w:rPr>
          <w:rFonts w:hint="eastAsia" w:ascii="宋体" w:hAnsi="宋体" w:cs="宋体"/>
          <w:color w:val="000000"/>
          <w:sz w:val="24"/>
          <w:lang w:bidi="ar"/>
        </w:rPr>
        <w:t>除非本合同另有规定，本合同中使用的如下词语应具有如下规定的含义：</w:t>
      </w:r>
    </w:p>
    <w:p>
      <w:pPr>
        <w:numPr>
          <w:ilvl w:val="1"/>
          <w:numId w:val="2"/>
        </w:numPr>
        <w:spacing w:line="480" w:lineRule="exact"/>
        <w:ind w:left="0" w:firstLine="480"/>
        <w:rPr>
          <w:rFonts w:ascii="宋体" w:hAnsi="宋体" w:cs="宋体"/>
          <w:color w:val="000000"/>
          <w:sz w:val="24"/>
        </w:rPr>
      </w:pPr>
      <w:r>
        <w:rPr>
          <w:rFonts w:hint="eastAsia" w:ascii="宋体" w:hAnsi="宋体" w:cs="宋体"/>
          <w:b/>
          <w:color w:val="000000"/>
          <w:sz w:val="24"/>
          <w:lang w:bidi="ar"/>
        </w:rPr>
        <w:t>标的债权：</w:t>
      </w:r>
      <w:r>
        <w:rPr>
          <w:rFonts w:hint="eastAsia" w:ascii="宋体" w:hAnsi="宋体" w:cs="宋体"/>
          <w:color w:val="000000"/>
          <w:sz w:val="24"/>
          <w:lang w:bidi="ar"/>
        </w:rPr>
        <w:t>是指甲方作为债权人对债务人享有的债权（本合同第2.1条列示），以及产生、依附于该债权的担保权利等从权利、附属权益和转化于该债权的其他权益。标的债权利益范围包括但不限于：主合同、担保合同和相关合同约定的借款本金、利息、罚息、违约金、损失赔偿和实现债权的费用等。就标的债权利息的计算或清收国家法律、法规、政策或有关司法解释有特别规定的，依该等规定执行，甲方不保证标的债权项下原约定的利息在转让以后可以得到法律支持。</w:t>
      </w:r>
    </w:p>
    <w:p>
      <w:pPr>
        <w:numPr>
          <w:ilvl w:val="1"/>
          <w:numId w:val="2"/>
        </w:numPr>
        <w:spacing w:line="480" w:lineRule="exact"/>
        <w:ind w:left="0" w:firstLine="480"/>
        <w:rPr>
          <w:rFonts w:ascii="宋体" w:hAnsi="宋体" w:cs="宋体"/>
          <w:b/>
          <w:color w:val="000000"/>
          <w:sz w:val="24"/>
        </w:rPr>
      </w:pPr>
      <w:r>
        <w:rPr>
          <w:rFonts w:hint="eastAsia" w:ascii="宋体" w:hAnsi="宋体" w:cs="宋体"/>
          <w:b/>
          <w:color w:val="000000"/>
          <w:sz w:val="24"/>
          <w:lang w:bidi="ar"/>
        </w:rPr>
        <w:t>基准日：</w:t>
      </w:r>
      <w:r>
        <w:rPr>
          <w:rFonts w:hint="eastAsia" w:ascii="宋体" w:hAnsi="宋体" w:cs="宋体"/>
          <w:color w:val="000000"/>
          <w:sz w:val="24"/>
          <w:lang w:bidi="ar"/>
        </w:rPr>
        <w:t>指甲方确定且为乙方认可的计算标的债权项下主债权本息余额的截止日，</w:t>
      </w:r>
      <w:r>
        <w:rPr>
          <w:rFonts w:hint="eastAsia" w:ascii="宋体" w:hAnsi="宋体" w:cs="宋体"/>
          <w:color w:val="000000"/>
          <w:sz w:val="24"/>
          <w:u w:val="single"/>
          <w:lang w:bidi="ar"/>
        </w:rPr>
        <w:t>具体见附件《标的债权清单》</w:t>
      </w:r>
      <w:r>
        <w:rPr>
          <w:rFonts w:hint="eastAsia" w:ascii="宋体" w:hAnsi="宋体" w:cs="宋体"/>
          <w:color w:val="000000"/>
          <w:sz w:val="24"/>
          <w:lang w:bidi="ar"/>
        </w:rPr>
        <w:t>。</w:t>
      </w:r>
    </w:p>
    <w:p>
      <w:pPr>
        <w:numPr>
          <w:ilvl w:val="1"/>
          <w:numId w:val="2"/>
        </w:numPr>
        <w:spacing w:line="480" w:lineRule="exact"/>
        <w:ind w:left="0" w:firstLine="480"/>
        <w:rPr>
          <w:rFonts w:ascii="宋体" w:hAnsi="宋体" w:cs="宋体"/>
          <w:b/>
          <w:color w:val="000000"/>
          <w:sz w:val="24"/>
        </w:rPr>
      </w:pPr>
      <w:r>
        <w:rPr>
          <w:rFonts w:hint="eastAsia" w:ascii="宋体" w:hAnsi="宋体" w:cs="宋体"/>
          <w:b/>
          <w:color w:val="000000"/>
          <w:sz w:val="24"/>
          <w:lang w:bidi="ar"/>
        </w:rPr>
        <w:t>标的债权证明文件：</w:t>
      </w:r>
      <w:r>
        <w:rPr>
          <w:rFonts w:hint="eastAsia" w:ascii="宋体" w:hAnsi="宋体" w:cs="宋体"/>
          <w:color w:val="000000"/>
          <w:sz w:val="24"/>
          <w:lang w:bidi="ar"/>
        </w:rPr>
        <w:t>指甲方在基准日实际持有的、且将于交割日移交给乙方的，与主张和行使标的债权有关的法律文件，限于贷款合同、借据、担保合同、抵（质）押担保权利凭证、判决书、调解书、裁定书、和解协议、债务重组协议、以物（股权）抵债协议、抵债资产权属证书或证明、破产债权申报书、逾期贷款催收通知书、甲方与前手权利人的分户债权转让协议、债权转让暨催收公告等。但甲方向乙方提供的标的债权证明文件以其预先披露并在交割日继续持有的全部法律文件为限，甲方未对标的债权证明文件的真实性、完整性、准确性做出任何保证或承诺。</w:t>
      </w:r>
    </w:p>
    <w:p>
      <w:pPr>
        <w:numPr>
          <w:ilvl w:val="1"/>
          <w:numId w:val="2"/>
        </w:numPr>
        <w:spacing w:line="480" w:lineRule="exact"/>
        <w:ind w:left="0" w:firstLine="480"/>
        <w:rPr>
          <w:rFonts w:ascii="宋体" w:hAnsi="宋体" w:cs="宋体"/>
          <w:b/>
          <w:color w:val="000000"/>
          <w:sz w:val="24"/>
        </w:rPr>
      </w:pPr>
      <w:r>
        <w:rPr>
          <w:rFonts w:hint="eastAsia" w:ascii="宋体" w:hAnsi="宋体" w:cs="宋体"/>
          <w:b/>
          <w:color w:val="000000"/>
          <w:sz w:val="24"/>
          <w:lang w:bidi="ar"/>
        </w:rPr>
        <w:t>转让价款：</w:t>
      </w:r>
      <w:r>
        <w:rPr>
          <w:rFonts w:hint="eastAsia" w:ascii="宋体" w:hAnsi="宋体" w:cs="宋体"/>
          <w:color w:val="000000"/>
          <w:sz w:val="24"/>
          <w:lang w:bidi="ar"/>
        </w:rPr>
        <w:t>指乙方自甲方处受让标的债权而向甲方支付的价款。</w:t>
      </w:r>
    </w:p>
    <w:p>
      <w:pPr>
        <w:numPr>
          <w:ilvl w:val="1"/>
          <w:numId w:val="2"/>
        </w:numPr>
        <w:spacing w:line="480" w:lineRule="exact"/>
        <w:ind w:left="0" w:firstLine="480"/>
        <w:rPr>
          <w:rFonts w:ascii="宋体" w:hAnsi="宋体" w:cs="宋体"/>
          <w:b/>
          <w:color w:val="000000"/>
          <w:sz w:val="24"/>
        </w:rPr>
      </w:pPr>
      <w:r>
        <w:rPr>
          <w:rFonts w:hint="eastAsia" w:ascii="宋体" w:hAnsi="宋体" w:cs="宋体"/>
          <w:b/>
          <w:color w:val="000000"/>
          <w:sz w:val="24"/>
          <w:lang w:bidi="ar"/>
        </w:rPr>
        <w:t>过渡期：</w:t>
      </w:r>
      <w:r>
        <w:rPr>
          <w:rFonts w:hint="eastAsia" w:ascii="宋体" w:hAnsi="宋体" w:cs="宋体"/>
          <w:color w:val="000000"/>
          <w:sz w:val="24"/>
          <w:lang w:bidi="ar"/>
        </w:rPr>
        <w:t>指自基准日起至交割日止的期间。</w:t>
      </w:r>
    </w:p>
    <w:p>
      <w:pPr>
        <w:numPr>
          <w:ilvl w:val="1"/>
          <w:numId w:val="2"/>
        </w:numPr>
        <w:spacing w:line="480" w:lineRule="exact"/>
        <w:ind w:left="0" w:firstLine="480"/>
        <w:rPr>
          <w:rFonts w:ascii="宋体" w:hAnsi="宋体" w:cs="宋体"/>
          <w:b/>
          <w:color w:val="000000"/>
          <w:sz w:val="24"/>
        </w:rPr>
      </w:pPr>
      <w:r>
        <w:rPr>
          <w:rFonts w:hint="eastAsia" w:ascii="宋体" w:hAnsi="宋体" w:cs="宋体"/>
          <w:b/>
          <w:color w:val="000000"/>
          <w:sz w:val="24"/>
        </w:rPr>
        <w:t>交割日：</w:t>
      </w:r>
      <w:r>
        <w:rPr>
          <w:rFonts w:hint="eastAsia" w:ascii="宋体" w:hAnsi="宋体" w:cs="宋体"/>
          <w:color w:val="000000"/>
          <w:sz w:val="24"/>
        </w:rPr>
        <w:t>乙方</w:t>
      </w:r>
      <w:r>
        <w:rPr>
          <w:rFonts w:hint="eastAsia" w:ascii="宋体" w:hAnsi="宋体" w:cs="黑体"/>
          <w:color w:val="000000"/>
          <w:sz w:val="24"/>
          <w:lang w:bidi="ar"/>
        </w:rPr>
        <w:t>支付完毕标的债权转让价款、资金占用费、违约金、赔偿金及约定的各项费用之日</w:t>
      </w:r>
      <w:r>
        <w:rPr>
          <w:rFonts w:hint="eastAsia" w:ascii="宋体" w:hAnsi="宋体" w:cs="宋体"/>
          <w:color w:val="000000"/>
          <w:sz w:val="24"/>
        </w:rPr>
        <w:t>。</w:t>
      </w:r>
    </w:p>
    <w:p>
      <w:pPr>
        <w:numPr>
          <w:ilvl w:val="1"/>
          <w:numId w:val="2"/>
        </w:numPr>
        <w:spacing w:line="480" w:lineRule="exact"/>
        <w:ind w:left="0" w:firstLine="480"/>
        <w:rPr>
          <w:rFonts w:ascii="宋体" w:hAnsi="宋体" w:cs="宋体"/>
          <w:b/>
          <w:color w:val="000000"/>
          <w:sz w:val="24"/>
        </w:rPr>
      </w:pPr>
      <w:r>
        <w:rPr>
          <w:rFonts w:hint="eastAsia" w:ascii="宋体" w:hAnsi="宋体" w:cs="宋体"/>
          <w:b/>
          <w:color w:val="000000"/>
          <w:sz w:val="24"/>
          <w:lang w:bidi="ar"/>
        </w:rPr>
        <w:t>抵债资产：</w:t>
      </w:r>
      <w:r>
        <w:rPr>
          <w:rFonts w:hint="eastAsia" w:ascii="宋体" w:hAnsi="宋体" w:cs="宋体"/>
          <w:color w:val="000000"/>
          <w:sz w:val="24"/>
          <w:lang w:bidi="ar"/>
        </w:rPr>
        <w:t>指基准日前，债务人或担保人以协议方式抵偿所欠甲方相应债务且未办理完毕产权过户登记的不动产、土地使用权、知识产权等，以及过渡期内，经协议或裁定方式抵偿所欠甲方相应债务的资产。</w:t>
      </w:r>
    </w:p>
    <w:p>
      <w:pPr>
        <w:numPr>
          <w:ilvl w:val="1"/>
          <w:numId w:val="2"/>
        </w:numPr>
        <w:spacing w:line="480" w:lineRule="exact"/>
        <w:ind w:left="0" w:firstLine="480"/>
        <w:rPr>
          <w:rFonts w:ascii="宋体" w:hAnsi="宋体" w:cs="宋体"/>
          <w:b/>
          <w:color w:val="000000"/>
          <w:sz w:val="24"/>
        </w:rPr>
      </w:pPr>
      <w:r>
        <w:rPr>
          <w:rFonts w:hint="eastAsia" w:ascii="宋体" w:hAnsi="宋体" w:cs="宋体"/>
          <w:b/>
          <w:color w:val="000000"/>
          <w:sz w:val="24"/>
          <w:lang w:bidi="ar"/>
        </w:rPr>
        <w:t>处置费用（如有）</w:t>
      </w:r>
      <w:r>
        <w:rPr>
          <w:rFonts w:hint="eastAsia" w:ascii="宋体" w:hAnsi="宋体" w:cs="宋体"/>
          <w:color w:val="000000"/>
          <w:sz w:val="24"/>
          <w:lang w:bidi="ar"/>
        </w:rPr>
        <w:t>：指在过渡期内管理、维护、处置标的债权实际发生并在交割时由乙方承担的一切费用，包括但不限于以下内容：（1）在对债务人或其他义务人的诉讼或仲裁以及财产保全、强制执行过程中需支付的法院或仲裁机构收费及为将任何抵债资产变现或过户登记而产生的税收或其他政府机构收费；（2）委托中介机构提供有关服务而支付的报酬和费用；（3）为获取和查阅有关标的债权的文件和信息而发生的相关政府机构收费；（4）为保全或完善（包括办理备案、登记或其他手续）标的债权权益而产生的费用；（5）抵债资产的保险、维修及运营费用，以及将其出租或出售时附带产生的相关费用；（6）转让方已经支付的任何欠付费用。</w:t>
      </w:r>
    </w:p>
    <w:p>
      <w:pPr>
        <w:numPr>
          <w:ilvl w:val="1"/>
          <w:numId w:val="2"/>
        </w:numPr>
        <w:spacing w:line="480" w:lineRule="exact"/>
        <w:ind w:left="0" w:firstLine="480"/>
        <w:rPr>
          <w:rFonts w:ascii="宋体" w:hAnsi="宋体" w:cs="宋体"/>
          <w:b/>
          <w:color w:val="000000"/>
          <w:sz w:val="24"/>
        </w:rPr>
      </w:pPr>
      <w:r>
        <w:rPr>
          <w:rFonts w:hint="eastAsia" w:ascii="宋体" w:hAnsi="宋体" w:cs="宋体"/>
          <w:b/>
          <w:color w:val="000000"/>
          <w:sz w:val="24"/>
          <w:lang w:bidi="ar"/>
        </w:rPr>
        <w:t>服务协议（如有）：</w:t>
      </w:r>
      <w:r>
        <w:rPr>
          <w:rFonts w:hint="eastAsia" w:ascii="宋体" w:hAnsi="宋体" w:cs="宋体"/>
          <w:color w:val="000000"/>
          <w:sz w:val="24"/>
          <w:lang w:bidi="ar"/>
        </w:rPr>
        <w:t>指甲方或其前手在交易基准日前以及甲方在过渡期内为标的债权的管理和处置的目的与任何第三方机构签署的相关服务协议或合同。</w:t>
      </w:r>
    </w:p>
    <w:p>
      <w:pPr>
        <w:numPr>
          <w:ilvl w:val="1"/>
          <w:numId w:val="2"/>
        </w:numPr>
        <w:spacing w:line="480" w:lineRule="exact"/>
        <w:ind w:left="0" w:firstLine="480"/>
        <w:rPr>
          <w:rFonts w:ascii="宋体" w:hAnsi="宋体" w:cs="宋体"/>
          <w:b/>
          <w:color w:val="000000"/>
          <w:sz w:val="24"/>
        </w:rPr>
      </w:pPr>
      <w:r>
        <w:rPr>
          <w:rFonts w:hint="eastAsia" w:ascii="宋体" w:hAnsi="宋体" w:cs="宋体"/>
          <w:b/>
          <w:color w:val="000000"/>
          <w:sz w:val="24"/>
          <w:lang w:bidi="ar"/>
        </w:rPr>
        <w:t>瑕疵：</w:t>
      </w:r>
      <w:r>
        <w:rPr>
          <w:rFonts w:hint="eastAsia" w:ascii="宋体" w:hAnsi="宋体" w:cs="宋体"/>
          <w:color w:val="000000"/>
          <w:sz w:val="24"/>
          <w:lang w:bidi="ar"/>
        </w:rPr>
        <w:t>指标的债权自身存在的影响其回收价值的各种因素，包括但不限于：主体因素、时效因素、标的债权证明文件因素、诉讼效果因素等各种因素。</w:t>
      </w:r>
    </w:p>
    <w:p>
      <w:pPr>
        <w:numPr>
          <w:ilvl w:val="1"/>
          <w:numId w:val="2"/>
        </w:numPr>
        <w:spacing w:line="480" w:lineRule="exact"/>
        <w:ind w:left="0" w:firstLine="480"/>
        <w:rPr>
          <w:rFonts w:ascii="宋体" w:hAnsi="宋体" w:cs="宋体"/>
          <w:b/>
          <w:color w:val="000000"/>
          <w:sz w:val="24"/>
        </w:rPr>
      </w:pPr>
      <w:r>
        <w:rPr>
          <w:rFonts w:hint="eastAsia" w:ascii="宋体" w:hAnsi="宋体" w:cs="宋体"/>
          <w:b/>
          <w:color w:val="000000"/>
          <w:sz w:val="24"/>
          <w:lang w:bidi="ar"/>
        </w:rPr>
        <w:t>风险：</w:t>
      </w:r>
      <w:r>
        <w:rPr>
          <w:rFonts w:hint="eastAsia" w:ascii="宋体" w:hAnsi="宋体" w:cs="宋体"/>
          <w:color w:val="000000"/>
          <w:sz w:val="24"/>
          <w:lang w:bidi="ar"/>
        </w:rPr>
        <w:t>指乙方受让标的债权后，由于各种主观、客观原因，导致预期利益不能实现的可能性。</w:t>
      </w:r>
    </w:p>
    <w:p>
      <w:pPr>
        <w:numPr>
          <w:ilvl w:val="1"/>
          <w:numId w:val="2"/>
        </w:numPr>
        <w:spacing w:line="480" w:lineRule="exact"/>
        <w:ind w:left="0" w:firstLine="480"/>
        <w:rPr>
          <w:rFonts w:ascii="宋体" w:hAnsi="宋体" w:cs="宋体"/>
          <w:b/>
          <w:color w:val="000000"/>
          <w:sz w:val="24"/>
        </w:rPr>
      </w:pPr>
      <w:r>
        <w:rPr>
          <w:rFonts w:hint="eastAsia" w:ascii="宋体" w:hAnsi="宋体" w:cs="宋体"/>
          <w:b/>
          <w:color w:val="000000"/>
          <w:sz w:val="24"/>
          <w:lang w:bidi="ar"/>
        </w:rPr>
        <w:t>工作日：</w:t>
      </w:r>
      <w:r>
        <w:rPr>
          <w:rFonts w:hint="eastAsia" w:ascii="宋体" w:hAnsi="宋体" w:cs="宋体"/>
          <w:color w:val="000000"/>
          <w:sz w:val="24"/>
          <w:lang w:bidi="ar"/>
        </w:rPr>
        <w:t>指除国家法定节假日、公休日以外任何一天。</w:t>
      </w:r>
    </w:p>
    <w:p>
      <w:pPr>
        <w:numPr>
          <w:ilvl w:val="1"/>
          <w:numId w:val="2"/>
        </w:numPr>
        <w:spacing w:line="480" w:lineRule="exact"/>
        <w:ind w:left="0" w:firstLine="480"/>
        <w:rPr>
          <w:rFonts w:ascii="宋体" w:hAnsi="宋体" w:cs="宋体"/>
          <w:b/>
          <w:color w:val="000000"/>
          <w:sz w:val="24"/>
        </w:rPr>
      </w:pPr>
      <w:r>
        <w:rPr>
          <w:rFonts w:hint="eastAsia" w:ascii="宋体" w:hAnsi="宋体" w:cs="宋体"/>
          <w:b/>
          <w:color w:val="000000"/>
          <w:sz w:val="24"/>
          <w:lang w:bidi="ar"/>
        </w:rPr>
        <w:t>元：</w:t>
      </w:r>
      <w:r>
        <w:rPr>
          <w:rFonts w:hint="eastAsia" w:ascii="宋体" w:hAnsi="宋体" w:cs="宋体"/>
          <w:color w:val="000000"/>
          <w:sz w:val="24"/>
          <w:lang w:bidi="ar"/>
        </w:rPr>
        <w:t>指人民币元。</w:t>
      </w:r>
    </w:p>
    <w:p>
      <w:pPr>
        <w:spacing w:line="480" w:lineRule="exact"/>
        <w:ind w:firstLine="480"/>
        <w:rPr>
          <w:rFonts w:ascii="宋体" w:hAnsi="宋体" w:cs="宋体"/>
          <w:b/>
          <w:color w:val="000000"/>
          <w:sz w:val="24"/>
        </w:rPr>
      </w:pPr>
    </w:p>
    <w:p>
      <w:pPr>
        <w:numPr>
          <w:ilvl w:val="0"/>
          <w:numId w:val="2"/>
        </w:numPr>
        <w:spacing w:line="480" w:lineRule="exact"/>
        <w:ind w:left="0" w:firstLine="480"/>
        <w:outlineLvl w:val="0"/>
        <w:rPr>
          <w:rFonts w:ascii="宋体" w:hAnsi="宋体" w:cs="宋体"/>
          <w:b/>
          <w:color w:val="000000"/>
          <w:sz w:val="24"/>
        </w:rPr>
      </w:pPr>
      <w:bookmarkStart w:id="7" w:name="_Toc154899816"/>
      <w:bookmarkEnd w:id="7"/>
      <w:bookmarkStart w:id="8" w:name="_Toc154899806"/>
      <w:bookmarkEnd w:id="8"/>
      <w:bookmarkStart w:id="9" w:name="_Toc154899811"/>
      <w:bookmarkEnd w:id="9"/>
      <w:bookmarkStart w:id="10" w:name="_Toc154899889"/>
      <w:bookmarkEnd w:id="10"/>
      <w:bookmarkStart w:id="11" w:name="_Toc154899909"/>
      <w:bookmarkEnd w:id="11"/>
      <w:bookmarkStart w:id="12" w:name="_Toc154899890"/>
      <w:bookmarkEnd w:id="12"/>
      <w:bookmarkStart w:id="13" w:name="_Toc154890907"/>
      <w:bookmarkEnd w:id="13"/>
      <w:bookmarkStart w:id="14" w:name="_Toc154890909"/>
      <w:bookmarkEnd w:id="14"/>
      <w:bookmarkStart w:id="15" w:name="_Toc154899800"/>
      <w:bookmarkEnd w:id="15"/>
      <w:bookmarkStart w:id="16" w:name="_Toc154899810"/>
      <w:bookmarkEnd w:id="16"/>
      <w:bookmarkStart w:id="17" w:name="_Toc154899812"/>
      <w:bookmarkEnd w:id="17"/>
      <w:bookmarkStart w:id="18" w:name="_Toc154899904"/>
      <w:bookmarkEnd w:id="18"/>
      <w:bookmarkStart w:id="19" w:name="_Toc154899911"/>
      <w:bookmarkEnd w:id="19"/>
      <w:bookmarkStart w:id="20" w:name="_Toc176110065"/>
      <w:bookmarkEnd w:id="20"/>
      <w:bookmarkStart w:id="21" w:name="_Toc154899899"/>
      <w:bookmarkEnd w:id="21"/>
      <w:bookmarkStart w:id="22" w:name="_Toc154899888"/>
      <w:bookmarkEnd w:id="22"/>
      <w:bookmarkStart w:id="23" w:name="_Toc154899901"/>
      <w:bookmarkEnd w:id="23"/>
      <w:bookmarkStart w:id="24" w:name="_Toc154899913"/>
      <w:bookmarkEnd w:id="24"/>
      <w:bookmarkStart w:id="25" w:name="_Toc154899903"/>
      <w:bookmarkEnd w:id="25"/>
      <w:bookmarkStart w:id="26" w:name="_Toc260835996"/>
      <w:bookmarkEnd w:id="26"/>
      <w:bookmarkStart w:id="27" w:name="_Toc154899802"/>
      <w:bookmarkEnd w:id="27"/>
      <w:bookmarkStart w:id="28" w:name="_Toc154890910"/>
      <w:bookmarkEnd w:id="28"/>
      <w:bookmarkStart w:id="29" w:name="_Toc154899905"/>
      <w:bookmarkEnd w:id="29"/>
      <w:bookmarkStart w:id="30" w:name="_Toc154899910"/>
      <w:bookmarkEnd w:id="30"/>
      <w:bookmarkStart w:id="31" w:name="_Toc154899891"/>
      <w:bookmarkEnd w:id="31"/>
      <w:bookmarkStart w:id="32" w:name="_Toc176110066"/>
      <w:bookmarkEnd w:id="32"/>
      <w:bookmarkStart w:id="33" w:name="_Toc154899894"/>
      <w:bookmarkEnd w:id="33"/>
      <w:bookmarkStart w:id="34" w:name="_Toc128918088"/>
      <w:bookmarkEnd w:id="34"/>
      <w:bookmarkStart w:id="35" w:name="_Toc176110064"/>
      <w:bookmarkEnd w:id="35"/>
      <w:bookmarkStart w:id="36" w:name="_Toc154890908"/>
      <w:bookmarkEnd w:id="36"/>
      <w:bookmarkStart w:id="37" w:name="_Toc260831402"/>
      <w:bookmarkEnd w:id="37"/>
      <w:bookmarkStart w:id="38" w:name="_Toc154899813"/>
      <w:bookmarkEnd w:id="38"/>
      <w:bookmarkStart w:id="39" w:name="_Toc154899820"/>
      <w:bookmarkEnd w:id="39"/>
      <w:bookmarkStart w:id="40" w:name="_Toc176110068"/>
      <w:bookmarkEnd w:id="40"/>
      <w:bookmarkStart w:id="41" w:name="_Toc154899907"/>
      <w:bookmarkEnd w:id="41"/>
      <w:bookmarkStart w:id="42" w:name="_Toc154899824"/>
      <w:bookmarkEnd w:id="42"/>
      <w:bookmarkStart w:id="43" w:name="_Toc154899886"/>
      <w:bookmarkEnd w:id="43"/>
      <w:bookmarkStart w:id="44" w:name="_Toc154899895"/>
      <w:bookmarkEnd w:id="44"/>
      <w:bookmarkStart w:id="45" w:name="_Toc154899819"/>
      <w:bookmarkEnd w:id="45"/>
      <w:bookmarkStart w:id="46" w:name="_Toc154890911"/>
      <w:bookmarkEnd w:id="46"/>
      <w:bookmarkStart w:id="47" w:name="_Toc154899893"/>
      <w:bookmarkEnd w:id="47"/>
      <w:bookmarkStart w:id="48" w:name="_Toc154899892"/>
      <w:bookmarkEnd w:id="48"/>
      <w:bookmarkStart w:id="49" w:name="_Toc154899803"/>
      <w:bookmarkEnd w:id="49"/>
      <w:bookmarkStart w:id="50" w:name="_Toc154890912"/>
      <w:bookmarkEnd w:id="50"/>
      <w:bookmarkStart w:id="51" w:name="_Toc154899799"/>
      <w:bookmarkEnd w:id="51"/>
      <w:bookmarkStart w:id="52" w:name="_Toc176110063"/>
      <w:bookmarkEnd w:id="52"/>
      <w:bookmarkStart w:id="53" w:name="_Toc154899808"/>
      <w:bookmarkEnd w:id="53"/>
      <w:bookmarkStart w:id="54" w:name="_Toc260831618"/>
      <w:bookmarkEnd w:id="54"/>
      <w:bookmarkStart w:id="55" w:name="_Toc260835678"/>
      <w:bookmarkEnd w:id="55"/>
      <w:bookmarkStart w:id="56" w:name="_Toc154899912"/>
      <w:bookmarkEnd w:id="56"/>
      <w:bookmarkStart w:id="57" w:name="_Toc154899807"/>
      <w:bookmarkEnd w:id="57"/>
      <w:bookmarkStart w:id="58" w:name="_Toc154899817"/>
      <w:bookmarkEnd w:id="58"/>
      <w:bookmarkStart w:id="59" w:name="_Toc154899906"/>
      <w:bookmarkEnd w:id="59"/>
      <w:bookmarkStart w:id="60" w:name="_Toc154899826"/>
      <w:bookmarkEnd w:id="60"/>
      <w:bookmarkStart w:id="61" w:name="_Toc154899809"/>
      <w:bookmarkEnd w:id="61"/>
      <w:bookmarkStart w:id="62" w:name="_Toc154899897"/>
      <w:bookmarkEnd w:id="62"/>
      <w:bookmarkStart w:id="63" w:name="_Toc154899900"/>
      <w:bookmarkEnd w:id="63"/>
      <w:bookmarkStart w:id="64" w:name="_Toc154899801"/>
      <w:bookmarkEnd w:id="64"/>
      <w:bookmarkStart w:id="65" w:name="_Toc154899898"/>
      <w:bookmarkEnd w:id="65"/>
      <w:bookmarkStart w:id="66" w:name="_Toc154899885"/>
      <w:bookmarkEnd w:id="66"/>
      <w:bookmarkStart w:id="67" w:name="_Toc154899815"/>
      <w:bookmarkEnd w:id="67"/>
      <w:bookmarkStart w:id="68" w:name="_Toc154899814"/>
      <w:bookmarkEnd w:id="68"/>
      <w:bookmarkStart w:id="69" w:name="_Toc154899805"/>
      <w:bookmarkEnd w:id="69"/>
      <w:bookmarkStart w:id="70" w:name="_Toc154899896"/>
      <w:bookmarkEnd w:id="70"/>
      <w:bookmarkStart w:id="71" w:name="_Toc154899822"/>
      <w:bookmarkEnd w:id="71"/>
      <w:bookmarkStart w:id="72" w:name="_Toc154899908"/>
      <w:bookmarkEnd w:id="72"/>
      <w:bookmarkStart w:id="73" w:name="_Toc154899821"/>
      <w:bookmarkEnd w:id="73"/>
      <w:bookmarkStart w:id="74" w:name="_Toc154899902"/>
      <w:bookmarkEnd w:id="74"/>
      <w:bookmarkStart w:id="75" w:name="_Toc154899804"/>
      <w:bookmarkEnd w:id="75"/>
      <w:bookmarkStart w:id="76" w:name="_Toc154899825"/>
      <w:bookmarkEnd w:id="76"/>
      <w:bookmarkStart w:id="77" w:name="_Toc176110067"/>
      <w:bookmarkEnd w:id="77"/>
      <w:bookmarkStart w:id="78" w:name="_Toc154899818"/>
      <w:bookmarkEnd w:id="78"/>
      <w:bookmarkStart w:id="79" w:name="_Toc154899887"/>
      <w:bookmarkEnd w:id="79"/>
      <w:bookmarkStart w:id="80" w:name="_Toc154899823"/>
      <w:bookmarkEnd w:id="80"/>
      <w:bookmarkStart w:id="81" w:name="_Toc128918089"/>
      <w:bookmarkEnd w:id="81"/>
      <w:bookmarkStart w:id="82" w:name="_Toc154899827"/>
      <w:bookmarkEnd w:id="82"/>
      <w:bookmarkStart w:id="83" w:name="_Toc379873862"/>
      <w:bookmarkStart w:id="84" w:name="_Ref225792477"/>
      <w:r>
        <w:rPr>
          <w:rFonts w:hint="eastAsia" w:ascii="宋体" w:hAnsi="宋体" w:cs="宋体"/>
          <w:b/>
          <w:color w:val="000000"/>
          <w:sz w:val="24"/>
          <w:lang w:bidi="ar"/>
        </w:rPr>
        <w:t>标的债权的转让</w:t>
      </w:r>
      <w:bookmarkEnd w:id="83"/>
      <w:bookmarkEnd w:id="84"/>
    </w:p>
    <w:p>
      <w:pPr>
        <w:numPr>
          <w:ilvl w:val="1"/>
          <w:numId w:val="2"/>
        </w:numPr>
        <w:spacing w:line="480" w:lineRule="exact"/>
        <w:ind w:left="0" w:firstLine="480"/>
        <w:rPr>
          <w:rFonts w:ascii="宋体" w:hAnsi="宋体" w:cs="宋体"/>
          <w:b/>
          <w:color w:val="000000"/>
          <w:sz w:val="24"/>
        </w:rPr>
      </w:pPr>
      <w:r>
        <w:rPr>
          <w:rFonts w:hint="eastAsia" w:ascii="宋体" w:hAnsi="宋体" w:cs="宋体"/>
          <w:b/>
          <w:color w:val="000000"/>
          <w:sz w:val="24"/>
          <w:lang w:bidi="ar"/>
        </w:rPr>
        <w:t>标的债权</w:t>
      </w:r>
    </w:p>
    <w:p>
      <w:pPr>
        <w:tabs>
          <w:tab w:val="left" w:pos="425"/>
          <w:tab w:val="left" w:pos="993"/>
        </w:tabs>
        <w:spacing w:line="480" w:lineRule="exact"/>
        <w:ind w:firstLine="480"/>
        <w:jc w:val="left"/>
        <w:rPr>
          <w:rFonts w:ascii="宋体" w:hAnsi="宋体" w:cs="宋体"/>
          <w:color w:val="000000"/>
          <w:sz w:val="24"/>
          <w:lang w:bidi="ar"/>
        </w:rPr>
      </w:pPr>
      <w:r>
        <w:rPr>
          <w:rFonts w:hint="eastAsia" w:ascii="宋体" w:hAnsi="宋体" w:cs="宋体"/>
          <w:color w:val="000000"/>
          <w:sz w:val="24"/>
          <w:lang w:bidi="ar"/>
        </w:rPr>
        <w:t>截至基准日，甲方享有对[</w:t>
      </w:r>
      <w:r>
        <w:rPr>
          <w:rFonts w:hint="eastAsia" w:ascii="宋体" w:hAnsi="宋体" w:eastAsia="Times New Roman" w:cs="宋体"/>
          <w:color w:val="000000"/>
          <w:sz w:val="24"/>
          <w:lang w:val="en-US" w:eastAsia="zh-CN" w:bidi="ar"/>
        </w:rPr>
        <w:t>四川丰和建材有限责任公司</w:t>
      </w:r>
      <w:r>
        <w:rPr>
          <w:rFonts w:hint="eastAsia" w:ascii="宋体" w:hAnsi="宋体" w:cs="宋体"/>
          <w:color w:val="000000"/>
          <w:sz w:val="24"/>
          <w:lang w:bidi="ar"/>
        </w:rPr>
        <w:t>]等[</w:t>
      </w:r>
      <w:r>
        <w:rPr>
          <w:rFonts w:hint="eastAsia" w:ascii="宋体" w:hAnsi="宋体" w:cs="宋体"/>
          <w:color w:val="000000"/>
          <w:sz w:val="24"/>
          <w:lang w:val="en-US" w:eastAsia="zh-CN" w:bidi="ar"/>
        </w:rPr>
        <w:t>3</w:t>
      </w:r>
      <w:r>
        <w:rPr>
          <w:rFonts w:hint="eastAsia" w:ascii="宋体" w:hAnsi="宋体" w:cs="宋体"/>
          <w:color w:val="000000"/>
          <w:sz w:val="24"/>
          <w:lang w:bidi="ar"/>
        </w:rPr>
        <w:t>]户债务人持有的债权账面余额合计为人民币（大写）</w:t>
      </w:r>
      <w:r>
        <w:rPr>
          <w:rFonts w:hint="eastAsia" w:ascii="宋体" w:hAnsi="宋体" w:eastAsia="Times New Roman" w:cs="宋体"/>
          <w:color w:val="000000"/>
          <w:sz w:val="24"/>
          <w:u w:val="single"/>
          <w:lang w:val="en-US" w:eastAsia="zh-CN" w:bidi="ar"/>
        </w:rPr>
        <w:t>叁亿柒仟壹佰肆拾壹万壹仟壹佰伍拾贰元陆角贰分</w:t>
      </w:r>
      <w:r>
        <w:rPr>
          <w:rFonts w:hint="eastAsia" w:ascii="宋体" w:hAnsi="宋体" w:cs="宋体"/>
          <w:color w:val="000000"/>
          <w:sz w:val="24"/>
          <w:lang w:bidi="ar"/>
        </w:rPr>
        <w:t>（小写：</w:t>
      </w:r>
      <w:r>
        <w:rPr>
          <w:rFonts w:hint="eastAsia" w:ascii="宋体" w:hAnsi="宋体" w:eastAsia="Times New Roman" w:cs="宋体"/>
          <w:color w:val="000000"/>
          <w:sz w:val="24"/>
          <w:u w:val="single"/>
          <w:lang w:bidi="ar"/>
        </w:rPr>
        <w:t>￥</w:t>
      </w:r>
      <w:r>
        <w:rPr>
          <w:rFonts w:hint="eastAsia" w:ascii="宋体" w:hAnsi="宋体" w:eastAsia="Times New Roman" w:cs="宋体"/>
          <w:color w:val="000000"/>
          <w:sz w:val="24"/>
          <w:u w:val="single"/>
          <w:lang w:val="en-US" w:eastAsia="zh-CN" w:bidi="ar"/>
        </w:rPr>
        <w:t xml:space="preserve">371,411,152.62 </w:t>
      </w:r>
      <w:r>
        <w:rPr>
          <w:rFonts w:hint="eastAsia" w:ascii="宋体" w:hAnsi="宋体" w:eastAsia="Times New Roman" w:cs="宋体"/>
          <w:color w:val="000000"/>
          <w:sz w:val="24"/>
          <w:u w:val="single"/>
          <w:lang w:bidi="ar"/>
        </w:rPr>
        <w:t>元</w:t>
      </w:r>
      <w:r>
        <w:rPr>
          <w:rFonts w:hint="eastAsia" w:ascii="宋体" w:hAnsi="宋体" w:cs="宋体"/>
          <w:color w:val="000000"/>
          <w:sz w:val="24"/>
          <w:lang w:bidi="ar"/>
        </w:rPr>
        <w:t>），其中债权本金账面余额为人民币（大写）</w:t>
      </w:r>
      <w:r>
        <w:rPr>
          <w:rFonts w:hint="eastAsia" w:ascii="宋体" w:hAnsi="宋体" w:eastAsia="Times New Roman" w:cs="宋体"/>
          <w:color w:val="000000"/>
          <w:sz w:val="24"/>
          <w:u w:val="single"/>
          <w:lang w:val="zh-TW" w:eastAsia="zh-CN" w:bidi="ar"/>
        </w:rPr>
        <w:t>壹亿玖仟伍佰叁拾万零伍仟肆佰叁拾叁元陆角肆分</w:t>
      </w:r>
      <w:r>
        <w:rPr>
          <w:rFonts w:hint="eastAsia" w:ascii="宋体" w:hAnsi="宋体" w:cs="宋体"/>
          <w:color w:val="000000"/>
          <w:sz w:val="24"/>
          <w:lang w:bidi="ar"/>
        </w:rPr>
        <w:t>（小写：</w:t>
      </w:r>
      <w:r>
        <w:rPr>
          <w:rFonts w:hint="eastAsia" w:ascii="宋体" w:hAnsi="宋体" w:eastAsia="Times New Roman" w:cs="宋体"/>
          <w:color w:val="000000"/>
          <w:sz w:val="24"/>
          <w:u w:val="single"/>
          <w:lang w:bidi="ar"/>
        </w:rPr>
        <w:t>￥</w:t>
      </w:r>
      <w:r>
        <w:rPr>
          <w:rFonts w:hint="eastAsia" w:ascii="宋体" w:hAnsi="宋体" w:eastAsia="Times New Roman" w:cs="宋体"/>
          <w:color w:val="000000"/>
          <w:sz w:val="24"/>
          <w:u w:val="single"/>
          <w:lang w:val="zh-TW" w:eastAsia="zh-CN" w:bidi="ar"/>
        </w:rPr>
        <w:t>143,130,466.73元</w:t>
      </w:r>
      <w:r>
        <w:rPr>
          <w:rFonts w:hint="eastAsia" w:ascii="宋体" w:hAnsi="宋体" w:cs="宋体"/>
          <w:color w:val="000000"/>
          <w:sz w:val="24"/>
          <w:lang w:bidi="ar"/>
        </w:rPr>
        <w:t>），利息合计人民币（大写）</w:t>
      </w:r>
      <w:r>
        <w:rPr>
          <w:rFonts w:hint="eastAsia" w:ascii="宋体" w:hAnsi="宋体" w:eastAsia="Times New Roman" w:cs="宋体"/>
          <w:color w:val="000000"/>
          <w:sz w:val="24"/>
          <w:u w:val="single"/>
          <w:lang w:val="zh-TW" w:eastAsia="zh-CN" w:bidi="ar"/>
        </w:rPr>
        <w:t>壹亿柒仟陆佰零壹万零捌佰捌拾柒元玖角捌分</w:t>
      </w:r>
      <w:r>
        <w:rPr>
          <w:rFonts w:hint="eastAsia" w:ascii="宋体" w:hAnsi="宋体" w:cs="宋体"/>
          <w:color w:val="000000"/>
          <w:sz w:val="24"/>
          <w:lang w:bidi="ar"/>
        </w:rPr>
        <w:t>（小写：</w:t>
      </w:r>
      <w:r>
        <w:rPr>
          <w:rFonts w:hint="eastAsia" w:ascii="宋体" w:hAnsi="宋体" w:eastAsia="Times New Roman" w:cs="宋体"/>
          <w:color w:val="000000"/>
          <w:sz w:val="24"/>
          <w:u w:val="single"/>
          <w:lang w:bidi="ar"/>
        </w:rPr>
        <w:t>￥</w:t>
      </w:r>
      <w:r>
        <w:rPr>
          <w:rFonts w:hint="eastAsia" w:ascii="宋体" w:hAnsi="宋体" w:eastAsia="Times New Roman" w:cs="宋体"/>
          <w:color w:val="000000"/>
          <w:sz w:val="24"/>
          <w:u w:val="single"/>
          <w:lang w:val="zh-TW" w:eastAsia="zh-CN" w:bidi="ar"/>
        </w:rPr>
        <w:t>176,010,887.98元</w:t>
      </w:r>
      <w:r>
        <w:rPr>
          <w:rFonts w:hint="eastAsia" w:ascii="宋体" w:hAnsi="宋体" w:cs="宋体"/>
          <w:color w:val="000000"/>
          <w:sz w:val="24"/>
          <w:lang w:bidi="ar"/>
        </w:rPr>
        <w:t>），其他债权账面余额为人民币（大写）</w:t>
      </w:r>
      <w:r>
        <w:rPr>
          <w:rFonts w:hint="eastAsia" w:ascii="宋体" w:hAnsi="宋体" w:eastAsia="Times New Roman" w:cs="宋体"/>
          <w:color w:val="000000"/>
          <w:sz w:val="24"/>
          <w:u w:val="single"/>
          <w:lang w:val="en-US" w:eastAsia="zh-CN" w:bidi="ar"/>
        </w:rPr>
        <w:t>玖万肆仟捌佰叁拾壹元整</w:t>
      </w:r>
      <w:r>
        <w:rPr>
          <w:rFonts w:hint="eastAsia" w:ascii="宋体" w:hAnsi="宋体" w:cs="宋体"/>
          <w:color w:val="000000"/>
          <w:sz w:val="24"/>
          <w:lang w:bidi="ar"/>
        </w:rPr>
        <w:t>（小写：</w:t>
      </w:r>
      <w:r>
        <w:rPr>
          <w:rFonts w:hint="eastAsia" w:ascii="宋体" w:hAnsi="宋体" w:eastAsia="Times New Roman" w:cs="宋体"/>
          <w:color w:val="000000"/>
          <w:sz w:val="24"/>
          <w:u w:val="single"/>
          <w:lang w:bidi="ar"/>
        </w:rPr>
        <w:t>￥</w:t>
      </w:r>
      <w:r>
        <w:rPr>
          <w:rFonts w:hint="eastAsia" w:ascii="宋体" w:hAnsi="宋体" w:eastAsia="Times New Roman" w:cs="宋体"/>
          <w:color w:val="000000"/>
          <w:sz w:val="24"/>
          <w:u w:val="single"/>
          <w:lang w:val="en-US" w:eastAsia="zh-CN" w:bidi="ar"/>
        </w:rPr>
        <w:t>94,831.00元</w:t>
      </w:r>
      <w:r>
        <w:rPr>
          <w:rFonts w:hint="eastAsia" w:ascii="宋体" w:hAnsi="宋体" w:cs="宋体"/>
          <w:color w:val="000000"/>
          <w:sz w:val="24"/>
          <w:lang w:bidi="ar"/>
        </w:rPr>
        <w:t>），标的债权清单详见附件。</w:t>
      </w:r>
      <w:bookmarkStart w:id="85" w:name="_Toc130189375"/>
      <w:bookmarkEnd w:id="85"/>
      <w:bookmarkStart w:id="86" w:name="_Toc155085469"/>
      <w:bookmarkEnd w:id="86"/>
      <w:bookmarkStart w:id="87" w:name="_Toc130189419"/>
      <w:bookmarkEnd w:id="87"/>
      <w:bookmarkStart w:id="88" w:name="_Toc253145571"/>
      <w:bookmarkEnd w:id="88"/>
      <w:bookmarkStart w:id="89" w:name="_Toc130189376"/>
      <w:bookmarkEnd w:id="89"/>
      <w:bookmarkStart w:id="90" w:name="_Toc130189416"/>
      <w:bookmarkEnd w:id="90"/>
      <w:bookmarkStart w:id="91" w:name="_Toc130189417"/>
      <w:bookmarkEnd w:id="91"/>
      <w:bookmarkStart w:id="92" w:name="_Toc130189414"/>
      <w:bookmarkEnd w:id="92"/>
      <w:bookmarkStart w:id="93" w:name="_Toc130189377"/>
      <w:bookmarkEnd w:id="93"/>
      <w:bookmarkStart w:id="94" w:name="_Toc130189373"/>
      <w:bookmarkEnd w:id="94"/>
      <w:bookmarkStart w:id="95" w:name="_Toc130189415"/>
      <w:bookmarkEnd w:id="95"/>
      <w:bookmarkStart w:id="96" w:name="_Toc130189418"/>
      <w:bookmarkEnd w:id="96"/>
      <w:bookmarkStart w:id="97" w:name="_Toc130189374"/>
      <w:bookmarkEnd w:id="97"/>
      <w:bookmarkStart w:id="98" w:name="_Toc130189372"/>
      <w:bookmarkEnd w:id="98"/>
      <w:bookmarkStart w:id="99" w:name="_Toc253145572"/>
      <w:bookmarkEnd w:id="99"/>
    </w:p>
    <w:p>
      <w:pPr>
        <w:numPr>
          <w:ilvl w:val="1"/>
          <w:numId w:val="2"/>
        </w:numPr>
        <w:spacing w:line="480" w:lineRule="exact"/>
        <w:ind w:left="0" w:firstLine="480"/>
        <w:rPr>
          <w:rFonts w:ascii="宋体" w:hAnsi="宋体" w:cs="宋体"/>
          <w:color w:val="000000"/>
          <w:sz w:val="24"/>
        </w:rPr>
      </w:pPr>
      <w:bookmarkStart w:id="100" w:name="_Toc260835998"/>
      <w:bookmarkEnd w:id="100"/>
      <w:bookmarkStart w:id="101" w:name="_Ref253039479"/>
      <w:r>
        <w:rPr>
          <w:rFonts w:hint="eastAsia" w:ascii="宋体" w:hAnsi="宋体" w:cs="宋体"/>
          <w:color w:val="000000"/>
          <w:sz w:val="24"/>
          <w:lang w:bidi="ar"/>
        </w:rPr>
        <w:t>本合同第2.1条约定的截至基准日的标的债权的债权本金、利息、罚息、费用等为账面金额，如与法院裁判文书或按标的债权文件约定方式计算金额不同，则以该等裁判文书或债权文件确认的方式计算至基准日为准。</w:t>
      </w:r>
    </w:p>
    <w:p>
      <w:pPr>
        <w:numPr>
          <w:ilvl w:val="1"/>
          <w:numId w:val="2"/>
        </w:numPr>
        <w:spacing w:line="480" w:lineRule="exact"/>
        <w:ind w:left="0" w:firstLine="480"/>
        <w:rPr>
          <w:rFonts w:ascii="宋体" w:hAnsi="宋体" w:cs="宋体"/>
          <w:b/>
          <w:color w:val="000000"/>
          <w:sz w:val="24"/>
        </w:rPr>
      </w:pPr>
      <w:r>
        <w:rPr>
          <w:rFonts w:hint="eastAsia" w:ascii="宋体" w:hAnsi="宋体" w:cs="宋体"/>
          <w:b/>
          <w:color w:val="000000"/>
          <w:sz w:val="24"/>
          <w:lang w:bidi="ar"/>
        </w:rPr>
        <w:t>转让价款、资金占用费</w:t>
      </w:r>
      <w:bookmarkEnd w:id="101"/>
    </w:p>
    <w:p>
      <w:pPr>
        <w:spacing w:line="480" w:lineRule="exact"/>
        <w:ind w:left="420"/>
        <w:rPr>
          <w:rFonts w:ascii="宋体" w:hAnsi="宋体" w:cs="宋体"/>
          <w:b/>
          <w:color w:val="000000"/>
          <w:sz w:val="24"/>
        </w:rPr>
      </w:pPr>
      <w:r>
        <w:rPr>
          <w:rFonts w:hint="eastAsia" w:ascii="宋体" w:hAnsi="宋体" w:cs="宋体"/>
          <w:b/>
          <w:color w:val="000000"/>
          <w:sz w:val="24"/>
          <w:lang w:bidi="ar"/>
        </w:rPr>
        <w:t>2.3.1转让价款</w:t>
      </w:r>
    </w:p>
    <w:p>
      <w:pPr>
        <w:tabs>
          <w:tab w:val="left" w:pos="992"/>
        </w:tabs>
        <w:spacing w:line="480" w:lineRule="exact"/>
        <w:ind w:left="1613" w:leftChars="342" w:hanging="895" w:hangingChars="373"/>
        <w:rPr>
          <w:rFonts w:ascii="宋体" w:hAnsi="宋体" w:cs="黑体"/>
          <w:color w:val="000000"/>
          <w:sz w:val="24"/>
          <w:lang w:bidi="ar"/>
        </w:rPr>
      </w:pPr>
      <w:r>
        <w:rPr>
          <w:rFonts w:hint="eastAsia" w:ascii="宋体" w:hAnsi="宋体" w:cs="宋体"/>
          <w:color w:val="000000"/>
          <w:sz w:val="24"/>
          <w:lang w:bidi="ar"/>
        </w:rPr>
        <w:t>本合同项下乙方应向甲方支付标的债权的转让价款为人民币</w:t>
      </w:r>
      <w:r>
        <w:rPr>
          <w:rFonts w:hint="eastAsia" w:ascii="宋体" w:hAnsi="宋体" w:cs="宋体"/>
          <w:color w:val="000000"/>
          <w:sz w:val="24"/>
          <w:u w:val="none"/>
          <w:lang w:bidi="ar"/>
        </w:rPr>
        <w:t>（大写）</w:t>
      </w:r>
      <w:r>
        <w:rPr>
          <w:rFonts w:hint="eastAsia" w:ascii="宋体" w:hAnsi="宋体" w:cs="宋体"/>
          <w:color w:val="000000"/>
          <w:sz w:val="24"/>
          <w:u w:val="single"/>
          <w:lang w:val="en-US" w:eastAsia="zh-CN" w:bidi="ar"/>
        </w:rPr>
        <w:t xml:space="preserve">    元</w:t>
      </w:r>
      <w:r>
        <w:rPr>
          <w:rFonts w:hint="eastAsia" w:ascii="宋体" w:hAnsi="宋体"/>
          <w:sz w:val="24"/>
        </w:rPr>
        <w:t>（小写：</w:t>
      </w:r>
      <w:r>
        <w:rPr>
          <w:rFonts w:hint="eastAsia" w:ascii="宋体" w:hAnsi="宋体" w:eastAsia="Times New Roman" w:cs="宋体"/>
          <w:color w:val="000000"/>
          <w:sz w:val="24"/>
          <w:u w:val="single"/>
          <w:lang w:bidi="ar"/>
        </w:rPr>
        <w:t>￥</w:t>
      </w:r>
      <w:r>
        <w:rPr>
          <w:rFonts w:hint="eastAsia" w:ascii="宋体" w:hAnsi="宋体" w:cs="宋体"/>
          <w:color w:val="000000"/>
          <w:sz w:val="24"/>
          <w:u w:val="single"/>
          <w:lang w:val="en-US" w:eastAsia="zh-CN" w:bidi="ar"/>
        </w:rPr>
        <w:t xml:space="preserve">          元</w:t>
      </w:r>
      <w:r>
        <w:rPr>
          <w:rFonts w:hint="eastAsia" w:ascii="宋体" w:hAnsi="宋体"/>
          <w:sz w:val="24"/>
        </w:rPr>
        <w:t>）。</w:t>
      </w:r>
    </w:p>
    <w:p>
      <w:pPr>
        <w:tabs>
          <w:tab w:val="left" w:pos="992"/>
        </w:tabs>
        <w:spacing w:line="480" w:lineRule="exact"/>
        <w:ind w:firstLine="480"/>
        <w:rPr>
          <w:rFonts w:ascii="宋体" w:hAnsi="宋体" w:cs="宋体"/>
          <w:b/>
          <w:color w:val="000000"/>
          <w:sz w:val="24"/>
        </w:rPr>
      </w:pPr>
      <w:bookmarkStart w:id="102" w:name="_Ref262817933"/>
      <w:bookmarkStart w:id="103" w:name="_Ref225778367"/>
      <w:r>
        <w:rPr>
          <w:rFonts w:hint="eastAsia" w:ascii="宋体" w:hAnsi="宋体" w:cs="宋体"/>
          <w:b/>
          <w:color w:val="000000"/>
          <w:sz w:val="24"/>
          <w:lang w:bidi="ar"/>
        </w:rPr>
        <w:t>2.3.2转让价款的支付</w:t>
      </w:r>
    </w:p>
    <w:p>
      <w:pPr>
        <w:tabs>
          <w:tab w:val="left" w:pos="992"/>
        </w:tabs>
        <w:spacing w:line="480" w:lineRule="exact"/>
        <w:ind w:left="2573" w:leftChars="342" w:hanging="1855" w:hangingChars="773"/>
        <w:rPr>
          <w:rFonts w:hint="default" w:ascii="宋体" w:hAnsi="宋体" w:eastAsia="宋体" w:cs="宋体"/>
          <w:color w:val="000000"/>
          <w:sz w:val="24"/>
          <w:lang w:val="en-US" w:eastAsia="zh-CN" w:bidi="ar"/>
        </w:rPr>
      </w:pPr>
      <w:r>
        <w:rPr>
          <w:rFonts w:hint="eastAsia" w:ascii="宋体" w:hAnsi="宋体" w:cs="宋体"/>
          <w:color w:val="000000"/>
          <w:sz w:val="24"/>
          <w:lang w:bidi="ar"/>
        </w:rPr>
        <w:t>2.3.2.1</w:t>
      </w:r>
      <w:r>
        <w:rPr>
          <w:rFonts w:hint="eastAsia" w:ascii="宋体" w:hAnsi="宋体" w:cs="宋体"/>
          <w:color w:val="000000"/>
          <w:sz w:val="24"/>
          <w:lang w:val="en-US" w:eastAsia="zh-CN" w:bidi="ar"/>
        </w:rPr>
        <w:t>乙方应于本合同生效后3个工作日内向甲方支付人民币（大写） 元（小写：</w:t>
      </w:r>
      <w:r>
        <w:rPr>
          <w:rFonts w:hint="eastAsia" w:ascii="宋体" w:hAnsi="宋体" w:eastAsia="Times New Roman" w:cs="宋体"/>
          <w:color w:val="000000"/>
          <w:sz w:val="24"/>
          <w:u w:val="single"/>
          <w:lang w:bidi="ar"/>
        </w:rPr>
        <w:t>￥</w:t>
      </w:r>
      <w:r>
        <w:rPr>
          <w:rFonts w:hint="eastAsia" w:ascii="宋体" w:hAnsi="宋体" w:cs="宋体"/>
          <w:color w:val="000000"/>
          <w:sz w:val="24"/>
          <w:u w:val="single"/>
          <w:lang w:val="en-US" w:eastAsia="zh-CN" w:bidi="ar"/>
        </w:rPr>
        <w:t xml:space="preserve">          元</w:t>
      </w:r>
      <w:r>
        <w:rPr>
          <w:rFonts w:hint="eastAsia" w:ascii="宋体" w:hAnsi="宋体" w:cs="宋体"/>
          <w:color w:val="000000"/>
          <w:sz w:val="24"/>
          <w:lang w:val="en-US" w:eastAsia="zh-CN" w:bidi="ar"/>
        </w:rPr>
        <w:t>）转让价款。</w:t>
      </w:r>
    </w:p>
    <w:p>
      <w:pPr>
        <w:tabs>
          <w:tab w:val="left" w:pos="992"/>
        </w:tabs>
        <w:spacing w:line="480" w:lineRule="exact"/>
        <w:ind w:firstLine="480"/>
        <w:rPr>
          <w:rFonts w:hint="eastAsia" w:ascii="宋体" w:hAnsi="宋体" w:cs="宋体"/>
          <w:color w:val="000000"/>
          <w:sz w:val="24"/>
          <w:lang w:bidi="ar"/>
        </w:rPr>
      </w:pPr>
      <w:r>
        <w:rPr>
          <w:rFonts w:hint="eastAsia" w:ascii="宋体" w:hAnsi="宋体" w:cs="宋体"/>
          <w:color w:val="000000"/>
          <w:sz w:val="24"/>
          <w:lang w:bidi="ar"/>
        </w:rPr>
        <w:t>2.3.2.</w:t>
      </w:r>
      <w:r>
        <w:rPr>
          <w:rFonts w:hint="eastAsia" w:ascii="宋体" w:hAnsi="宋体" w:cs="宋体"/>
          <w:color w:val="000000"/>
          <w:sz w:val="24"/>
          <w:lang w:val="en-US" w:eastAsia="zh-CN" w:bidi="ar"/>
        </w:rPr>
        <w:t>2</w:t>
      </w:r>
      <w:r>
        <w:rPr>
          <w:rFonts w:hint="eastAsia" w:ascii="宋体" w:hAnsi="宋体" w:cs="宋体"/>
          <w:color w:val="000000"/>
          <w:sz w:val="24"/>
          <w:lang w:bidi="ar"/>
        </w:rPr>
        <w:t>乙方已向甲方缴纳的保证金中的人民币（大写）</w:t>
      </w:r>
      <w:r>
        <w:rPr>
          <w:rFonts w:hint="eastAsia" w:ascii="宋体" w:hAnsi="宋体" w:cs="宋体"/>
          <w:color w:val="000000"/>
          <w:sz w:val="24"/>
          <w:u w:val="single"/>
          <w:lang w:val="en-US" w:eastAsia="zh-CN" w:bidi="ar"/>
        </w:rPr>
        <w:t xml:space="preserve">         元</w:t>
      </w:r>
      <w:r>
        <w:rPr>
          <w:rFonts w:hint="eastAsia" w:ascii="宋体" w:hAnsi="宋体" w:cs="宋体"/>
          <w:color w:val="000000"/>
          <w:sz w:val="24"/>
          <w:lang w:bidi="ar"/>
        </w:rPr>
        <w:t>（小写</w:t>
      </w:r>
      <w:r>
        <w:rPr>
          <w:rFonts w:hint="eastAsia" w:ascii="宋体" w:hAnsi="宋体" w:cs="宋体"/>
          <w:color w:val="000000"/>
          <w:sz w:val="24"/>
          <w:u w:val="none"/>
          <w:lang w:bidi="ar"/>
        </w:rPr>
        <w:t>：</w:t>
      </w:r>
      <w:r>
        <w:rPr>
          <w:rFonts w:hint="eastAsia" w:ascii="宋体" w:hAnsi="宋体" w:cs="宋体"/>
          <w:color w:val="000000"/>
          <w:sz w:val="24"/>
          <w:u w:val="single"/>
          <w:lang w:val="en-US" w:eastAsia="zh-CN" w:bidi="ar"/>
        </w:rPr>
        <w:t xml:space="preserve">             </w:t>
      </w:r>
      <w:r>
        <w:rPr>
          <w:rFonts w:hint="eastAsia" w:ascii="宋体" w:hAnsi="宋体" w:eastAsia="宋体" w:cs="宋体"/>
          <w:color w:val="000000"/>
          <w:sz w:val="24"/>
          <w:u w:val="single"/>
          <w:lang w:val="en-US" w:eastAsia="zh-CN" w:bidi="ar"/>
        </w:rPr>
        <w:t>元</w:t>
      </w:r>
      <w:r>
        <w:rPr>
          <w:rFonts w:hint="eastAsia" w:ascii="宋体" w:hAnsi="宋体" w:cs="宋体"/>
          <w:color w:val="000000"/>
          <w:sz w:val="24"/>
          <w:lang w:bidi="ar"/>
        </w:rPr>
        <w:t>）于本合同生效之日即转为转让价款的相应款项；</w:t>
      </w:r>
    </w:p>
    <w:p>
      <w:pPr>
        <w:tabs>
          <w:tab w:val="left" w:pos="992"/>
        </w:tabs>
        <w:spacing w:line="480" w:lineRule="exact"/>
        <w:ind w:firstLine="480"/>
        <w:rPr>
          <w:rFonts w:hint="eastAsia" w:ascii="宋体" w:hAnsi="宋体" w:cs="宋体"/>
          <w:color w:val="000000"/>
          <w:sz w:val="24"/>
          <w:lang w:val="en-US" w:eastAsia="zh-CN" w:bidi="ar"/>
        </w:rPr>
      </w:pPr>
      <w:r>
        <w:rPr>
          <w:rFonts w:hint="eastAsia" w:ascii="宋体" w:hAnsi="宋体" w:cs="宋体"/>
          <w:color w:val="000000"/>
          <w:sz w:val="24"/>
          <w:lang w:bidi="ar"/>
        </w:rPr>
        <w:t>2.3.2.</w:t>
      </w:r>
      <w:r>
        <w:rPr>
          <w:rFonts w:hint="eastAsia" w:ascii="宋体" w:hAnsi="宋体" w:cs="宋体"/>
          <w:color w:val="000000"/>
          <w:sz w:val="24"/>
          <w:lang w:val="en-US" w:eastAsia="zh-CN" w:bidi="ar"/>
        </w:rPr>
        <w:t>3乙方应于本合同生效后3个工作日内向甲方支付人民币（大写） 元（小写：</w:t>
      </w:r>
      <w:r>
        <w:rPr>
          <w:rFonts w:hint="eastAsia" w:ascii="宋体" w:hAnsi="宋体" w:cs="宋体"/>
          <w:color w:val="000000"/>
          <w:sz w:val="24"/>
          <w:lang w:bidi="ar"/>
        </w:rPr>
        <w:t>￥</w:t>
      </w:r>
      <w:r>
        <w:rPr>
          <w:rFonts w:hint="eastAsia" w:ascii="宋体" w:hAnsi="宋体" w:cs="宋体"/>
          <w:color w:val="000000"/>
          <w:sz w:val="24"/>
          <w:lang w:val="en-US" w:eastAsia="zh-CN" w:bidi="ar"/>
        </w:rPr>
        <w:t xml:space="preserve">          元）第一期转让价款（若有）。</w:t>
      </w:r>
    </w:p>
    <w:p>
      <w:pPr>
        <w:tabs>
          <w:tab w:val="left" w:pos="992"/>
        </w:tabs>
        <w:spacing w:line="480" w:lineRule="exact"/>
        <w:ind w:firstLine="480"/>
        <w:rPr>
          <w:rFonts w:hint="eastAsia" w:ascii="宋体" w:hAnsi="宋体" w:cs="宋体"/>
          <w:color w:val="000000"/>
          <w:sz w:val="24"/>
          <w:lang w:bidi="ar"/>
        </w:rPr>
      </w:pPr>
      <w:r>
        <w:rPr>
          <w:rFonts w:hint="eastAsia" w:ascii="宋体" w:hAnsi="宋体" w:cs="宋体"/>
          <w:color w:val="000000"/>
          <w:sz w:val="24"/>
          <w:lang w:bidi="ar"/>
        </w:rPr>
        <w:t>2.3.2.</w:t>
      </w:r>
      <w:r>
        <w:rPr>
          <w:rFonts w:hint="eastAsia" w:ascii="宋体" w:hAnsi="宋体" w:cs="宋体"/>
          <w:color w:val="000000"/>
          <w:sz w:val="24"/>
          <w:lang w:val="en-US" w:eastAsia="zh-CN" w:bidi="ar"/>
        </w:rPr>
        <w:t>4</w:t>
      </w:r>
      <w:r>
        <w:rPr>
          <w:rFonts w:hint="eastAsia" w:ascii="宋体" w:hAnsi="宋体" w:cs="宋体"/>
          <w:color w:val="000000"/>
          <w:sz w:val="24"/>
          <w:lang w:bidi="ar"/>
        </w:rPr>
        <w:t>乙方已向甲方缴纳的保证金中的人民币（大写）</w:t>
      </w:r>
      <w:r>
        <w:rPr>
          <w:rFonts w:hint="eastAsia" w:ascii="宋体" w:hAnsi="宋体" w:cs="宋体"/>
          <w:color w:val="000000"/>
          <w:sz w:val="24"/>
          <w:lang w:val="en-US" w:eastAsia="zh-CN" w:bidi="ar"/>
        </w:rPr>
        <w:t xml:space="preserve">         元</w:t>
      </w:r>
      <w:r>
        <w:rPr>
          <w:rFonts w:hint="eastAsia" w:ascii="宋体" w:hAnsi="宋体" w:cs="宋体"/>
          <w:color w:val="000000"/>
          <w:sz w:val="24"/>
          <w:lang w:bidi="ar"/>
        </w:rPr>
        <w:t>（小写：</w:t>
      </w:r>
      <w:r>
        <w:rPr>
          <w:rFonts w:hint="eastAsia" w:ascii="宋体" w:hAnsi="宋体" w:cs="宋体"/>
          <w:color w:val="000000"/>
          <w:sz w:val="24"/>
          <w:lang w:val="en-US" w:eastAsia="zh-CN" w:bidi="ar"/>
        </w:rPr>
        <w:t xml:space="preserve">             元</w:t>
      </w:r>
      <w:r>
        <w:rPr>
          <w:rFonts w:hint="eastAsia" w:ascii="宋体" w:hAnsi="宋体" w:cs="宋体"/>
          <w:color w:val="000000"/>
          <w:sz w:val="24"/>
          <w:lang w:bidi="ar"/>
        </w:rPr>
        <w:t>）于本合同生效之日即转为第一期转让价款的相应款项</w:t>
      </w:r>
      <w:r>
        <w:rPr>
          <w:rFonts w:hint="eastAsia" w:ascii="宋体" w:hAnsi="宋体" w:cs="宋体"/>
          <w:color w:val="000000"/>
          <w:sz w:val="24"/>
          <w:lang w:eastAsia="zh-CN" w:bidi="ar"/>
        </w:rPr>
        <w:t>（</w:t>
      </w:r>
      <w:r>
        <w:rPr>
          <w:rFonts w:hint="eastAsia" w:ascii="宋体" w:hAnsi="宋体" w:cs="宋体"/>
          <w:color w:val="000000"/>
          <w:sz w:val="24"/>
          <w:lang w:val="en-US" w:eastAsia="zh-CN" w:bidi="ar"/>
        </w:rPr>
        <w:t>若有</w:t>
      </w:r>
      <w:r>
        <w:rPr>
          <w:rFonts w:hint="eastAsia" w:ascii="宋体" w:hAnsi="宋体" w:cs="宋体"/>
          <w:color w:val="000000"/>
          <w:sz w:val="24"/>
          <w:lang w:eastAsia="zh-CN" w:bidi="ar"/>
        </w:rPr>
        <w:t>）</w:t>
      </w:r>
      <w:r>
        <w:rPr>
          <w:rFonts w:hint="eastAsia" w:ascii="宋体" w:hAnsi="宋体" w:cs="宋体"/>
          <w:color w:val="000000"/>
          <w:sz w:val="24"/>
          <w:lang w:bidi="ar"/>
        </w:rPr>
        <w:t>；</w:t>
      </w:r>
    </w:p>
    <w:p>
      <w:pPr>
        <w:tabs>
          <w:tab w:val="left" w:pos="992"/>
        </w:tabs>
        <w:spacing w:line="480" w:lineRule="exact"/>
        <w:ind w:firstLine="480"/>
        <w:rPr>
          <w:rFonts w:hint="eastAsia" w:ascii="宋体" w:hAnsi="宋体" w:eastAsia="宋体" w:cs="宋体"/>
          <w:color w:val="000000"/>
          <w:sz w:val="24"/>
          <w:lang w:val="en-US" w:eastAsia="zh-CN" w:bidi="ar"/>
        </w:rPr>
      </w:pPr>
      <w:r>
        <w:rPr>
          <w:rFonts w:hint="eastAsia" w:ascii="宋体" w:hAnsi="宋体" w:cs="宋体"/>
          <w:color w:val="000000"/>
          <w:sz w:val="24"/>
          <w:lang w:bidi="ar"/>
        </w:rPr>
        <w:t>2.3.2.</w:t>
      </w:r>
      <w:r>
        <w:rPr>
          <w:rFonts w:hint="eastAsia" w:ascii="宋体" w:hAnsi="宋体" w:cs="宋体"/>
          <w:color w:val="000000"/>
          <w:sz w:val="24"/>
          <w:lang w:val="en-US" w:eastAsia="zh-CN" w:bidi="ar"/>
        </w:rPr>
        <w:t>5</w:t>
      </w:r>
      <w:r>
        <w:rPr>
          <w:rFonts w:hint="eastAsia" w:ascii="宋体" w:hAnsi="宋体" w:cs="宋体"/>
          <w:color w:val="000000"/>
          <w:sz w:val="24"/>
          <w:lang w:bidi="ar"/>
        </w:rPr>
        <w:t>剩余转让价款及相应资金占用费应于本合同生效之日起</w:t>
      </w:r>
      <w:r>
        <w:rPr>
          <w:rFonts w:hint="eastAsia" w:ascii="宋体" w:hAnsi="宋体" w:cs="宋体"/>
          <w:color w:val="000000"/>
          <w:sz w:val="24"/>
          <w:lang w:val="en-US" w:eastAsia="zh-CN" w:bidi="ar"/>
        </w:rPr>
        <w:t>24</w:t>
      </w:r>
      <w:r>
        <w:rPr>
          <w:rFonts w:hint="eastAsia" w:ascii="宋体" w:hAnsi="宋体" w:cs="宋体"/>
          <w:color w:val="000000"/>
          <w:sz w:val="24"/>
          <w:lang w:bidi="ar"/>
        </w:rPr>
        <w:t>个月支付完毕</w:t>
      </w:r>
      <w:r>
        <w:rPr>
          <w:rFonts w:hint="eastAsia" w:ascii="宋体" w:hAnsi="宋体" w:cs="宋体"/>
          <w:color w:val="000000"/>
          <w:sz w:val="24"/>
          <w:lang w:val="en-US" w:eastAsia="zh-CN" w:bidi="ar"/>
        </w:rPr>
        <w:t>(若有）;</w:t>
      </w:r>
    </w:p>
    <w:bookmarkEnd w:id="102"/>
    <w:p>
      <w:pPr>
        <w:tabs>
          <w:tab w:val="left" w:pos="1260"/>
        </w:tabs>
        <w:spacing w:line="480" w:lineRule="exact"/>
        <w:ind w:firstLine="482"/>
        <w:rPr>
          <w:rFonts w:hint="eastAsia" w:ascii="宋体" w:hAnsi="宋体" w:eastAsia="宋体" w:cs="宋体"/>
          <w:b/>
          <w:color w:val="000000"/>
          <w:sz w:val="24"/>
          <w:szCs w:val="22"/>
          <w:lang w:eastAsia="zh-CN" w:bidi="ar"/>
        </w:rPr>
      </w:pPr>
      <w:bookmarkStart w:id="104" w:name="_Hlk529971708"/>
      <w:r>
        <w:rPr>
          <w:rFonts w:hint="eastAsia" w:ascii="宋体" w:hAnsi="宋体" w:cs="宋体"/>
          <w:b/>
          <w:color w:val="000000"/>
          <w:sz w:val="24"/>
          <w:szCs w:val="22"/>
          <w:lang w:bidi="ar"/>
        </w:rPr>
        <w:t>2.3.3</w:t>
      </w:r>
      <w:bookmarkEnd w:id="104"/>
      <w:r>
        <w:rPr>
          <w:rFonts w:hint="eastAsia" w:ascii="宋体" w:hAnsi="宋体" w:cs="宋体"/>
          <w:b/>
          <w:color w:val="000000"/>
          <w:sz w:val="24"/>
          <w:szCs w:val="22"/>
          <w:lang w:bidi="ar"/>
        </w:rPr>
        <w:t>资金占用费</w:t>
      </w:r>
      <w:r>
        <w:rPr>
          <w:rFonts w:hint="eastAsia" w:ascii="宋体" w:hAnsi="宋体" w:cs="宋体"/>
          <w:b/>
          <w:color w:val="000000"/>
          <w:sz w:val="24"/>
          <w:szCs w:val="22"/>
          <w:lang w:eastAsia="zh-CN" w:bidi="ar"/>
        </w:rPr>
        <w:t>（</w:t>
      </w:r>
      <w:r>
        <w:rPr>
          <w:rFonts w:hint="eastAsia" w:ascii="宋体" w:hAnsi="宋体" w:cs="宋体"/>
          <w:b/>
          <w:color w:val="000000"/>
          <w:sz w:val="24"/>
          <w:szCs w:val="22"/>
          <w:lang w:val="en-US" w:eastAsia="zh-CN" w:bidi="ar"/>
        </w:rPr>
        <w:t>若有</w:t>
      </w:r>
      <w:r>
        <w:rPr>
          <w:rFonts w:hint="eastAsia" w:ascii="宋体" w:hAnsi="宋体" w:cs="宋体"/>
          <w:b/>
          <w:color w:val="000000"/>
          <w:sz w:val="24"/>
          <w:szCs w:val="22"/>
          <w:lang w:eastAsia="zh-CN" w:bidi="ar"/>
        </w:rPr>
        <w:t>）</w:t>
      </w:r>
    </w:p>
    <w:p>
      <w:pPr>
        <w:tabs>
          <w:tab w:val="left" w:pos="1260"/>
        </w:tabs>
        <w:spacing w:line="480" w:lineRule="exact"/>
        <w:ind w:firstLine="482"/>
        <w:rPr>
          <w:rFonts w:ascii="宋体" w:hAnsi="宋体" w:cs="宋体"/>
          <w:color w:val="000000"/>
          <w:sz w:val="24"/>
          <w:szCs w:val="22"/>
          <w:lang w:bidi="ar"/>
        </w:rPr>
      </w:pPr>
      <w:r>
        <w:rPr>
          <w:rFonts w:hint="eastAsia" w:ascii="宋体" w:hAnsi="宋体" w:cs="宋体"/>
          <w:color w:val="000000"/>
          <w:sz w:val="24"/>
          <w:szCs w:val="22"/>
          <w:lang w:bidi="ar"/>
        </w:rPr>
        <w:t>自本合同生效之日（含）起，乙方应当就未支付的转让价款向甲方支付资金占用费，费率为</w:t>
      </w:r>
      <w:r>
        <w:rPr>
          <w:rFonts w:hint="eastAsia" w:ascii="宋体" w:hAnsi="宋体" w:cs="宋体"/>
          <w:color w:val="000000"/>
          <w:spacing w:val="-4"/>
          <w:sz w:val="24"/>
          <w:szCs w:val="22"/>
          <w:lang w:bidi="ar"/>
        </w:rPr>
        <w:t>[</w:t>
      </w:r>
      <w:r>
        <w:rPr>
          <w:rFonts w:hint="eastAsia" w:ascii="宋体" w:hAnsi="宋体" w:cs="宋体"/>
          <w:color w:val="000000"/>
          <w:spacing w:val="-4"/>
          <w:sz w:val="24"/>
          <w:szCs w:val="22"/>
          <w:u w:val="single"/>
          <w:lang w:val="en-US" w:eastAsia="zh-CN" w:bidi="ar"/>
        </w:rPr>
        <w:t>12</w:t>
      </w:r>
      <w:r>
        <w:rPr>
          <w:rFonts w:hint="eastAsia" w:ascii="宋体" w:hAnsi="宋体" w:cs="宋体"/>
          <w:color w:val="000000"/>
          <w:spacing w:val="-4"/>
          <w:sz w:val="24"/>
          <w:szCs w:val="22"/>
          <w:lang w:bidi="ar"/>
        </w:rPr>
        <w:t>]</w:t>
      </w:r>
      <w:r>
        <w:rPr>
          <w:rFonts w:hint="eastAsia" w:ascii="宋体" w:hAnsi="宋体" w:cs="宋体"/>
          <w:color w:val="000000"/>
          <w:sz w:val="24"/>
          <w:szCs w:val="22"/>
          <w:lang w:bidi="ar"/>
        </w:rPr>
        <w:t>%/年。</w:t>
      </w:r>
    </w:p>
    <w:p>
      <w:pPr>
        <w:tabs>
          <w:tab w:val="left" w:pos="992"/>
        </w:tabs>
        <w:spacing w:line="480" w:lineRule="exact"/>
        <w:ind w:firstLine="480"/>
        <w:rPr>
          <w:rFonts w:ascii="宋体" w:hAnsi="宋体" w:cs="宋体"/>
          <w:color w:val="000000"/>
          <w:sz w:val="24"/>
        </w:rPr>
      </w:pPr>
      <w:r>
        <w:rPr>
          <w:rFonts w:hint="eastAsia" w:ascii="宋体" w:hAnsi="宋体" w:cs="宋体"/>
          <w:color w:val="000000"/>
          <w:sz w:val="24"/>
          <w:lang w:bidi="ar"/>
        </w:rPr>
        <w:t>2.3.3.1资金占用费按照下列约定执行：</w:t>
      </w:r>
    </w:p>
    <w:p>
      <w:pPr>
        <w:tabs>
          <w:tab w:val="left" w:pos="992"/>
        </w:tabs>
        <w:spacing w:line="480" w:lineRule="exact"/>
        <w:ind w:firstLine="480"/>
        <w:rPr>
          <w:rFonts w:ascii="宋体" w:hAnsi="宋体" w:cs="宋体"/>
          <w:color w:val="000000"/>
          <w:sz w:val="24"/>
        </w:rPr>
      </w:pPr>
      <w:r>
        <w:rPr>
          <w:rFonts w:hint="eastAsia" w:ascii="宋体" w:hAnsi="宋体" w:cs="宋体"/>
          <w:color w:val="000000"/>
          <w:sz w:val="24"/>
          <w:lang w:bidi="ar"/>
        </w:rPr>
        <w:t>2.3.3.2资金占用费=Σ｛[资金占用费计算基数]×资金占用费率</w:t>
      </w:r>
      <w:r>
        <w:rPr>
          <w:rFonts w:hint="eastAsia" w:ascii="宋体" w:hAnsi="宋体" w:cs="宋体"/>
          <w:color w:val="000000"/>
          <w:spacing w:val="-4"/>
          <w:sz w:val="24"/>
          <w:lang w:bidi="ar"/>
        </w:rPr>
        <w:t>[</w:t>
      </w:r>
      <w:r>
        <w:rPr>
          <w:rFonts w:hint="eastAsia" w:ascii="宋体" w:hAnsi="宋体" w:cs="宋体"/>
          <w:color w:val="000000"/>
          <w:spacing w:val="-4"/>
          <w:sz w:val="24"/>
          <w:u w:val="single"/>
          <w:lang w:val="en-US" w:eastAsia="zh-CN" w:bidi="ar"/>
        </w:rPr>
        <w:t>12</w:t>
      </w:r>
      <w:r>
        <w:rPr>
          <w:rFonts w:hint="eastAsia" w:ascii="宋体" w:hAnsi="宋体" w:cs="宋体"/>
          <w:color w:val="000000"/>
          <w:spacing w:val="-4"/>
          <w:sz w:val="24"/>
          <w:lang w:bidi="ar"/>
        </w:rPr>
        <w:t>]</w:t>
      </w:r>
      <w:r>
        <w:rPr>
          <w:rFonts w:hint="eastAsia" w:ascii="宋体" w:hAnsi="宋体" w:cs="宋体"/>
          <w:color w:val="000000"/>
          <w:sz w:val="24"/>
          <w:lang w:bidi="ar"/>
        </w:rPr>
        <w:t>%/360×实际分段天数｝，根据资金占用费计算基数金额变化分段计算,实际分段天数为本合同生效之日（含）起至</w:t>
      </w:r>
      <w:r>
        <w:rPr>
          <w:rFonts w:hint="eastAsia" w:ascii="宋体" w:hAnsi="宋体" w:cs="宋体"/>
          <w:color w:val="000000"/>
          <w:sz w:val="24"/>
          <w:lang w:val="en-US" w:eastAsia="zh-CN" w:bidi="ar"/>
        </w:rPr>
        <w:t>实际占用的</w:t>
      </w:r>
      <w:r>
        <w:rPr>
          <w:rFonts w:hint="eastAsia" w:ascii="宋体" w:hAnsi="宋体" w:cs="宋体"/>
          <w:color w:val="000000"/>
          <w:sz w:val="24"/>
          <w:lang w:bidi="ar"/>
        </w:rPr>
        <w:t>标的债权转让价款及资金占用费实际付清之日止的存续天数。资金占用费计算基数发生变化时，变化当日以变化后的资金占用费计算基数计算利息。</w:t>
      </w:r>
    </w:p>
    <w:p>
      <w:pPr>
        <w:tabs>
          <w:tab w:val="left" w:pos="1260"/>
        </w:tabs>
        <w:spacing w:line="480" w:lineRule="exact"/>
        <w:ind w:firstLine="480"/>
        <w:rPr>
          <w:rFonts w:ascii="宋体" w:hAnsi="宋体" w:cs="宋体"/>
          <w:color w:val="000000"/>
          <w:sz w:val="24"/>
        </w:rPr>
      </w:pPr>
      <w:r>
        <w:rPr>
          <w:rFonts w:hint="eastAsia" w:ascii="宋体" w:hAnsi="宋体" w:cs="宋体"/>
          <w:color w:val="000000"/>
          <w:sz w:val="24"/>
          <w:lang w:bidi="ar"/>
        </w:rPr>
        <w:t>其中：资金占用费计算基数＝全部转让价款－累计已支付并经甲方确认的转让价款</w:t>
      </w:r>
    </w:p>
    <w:p>
      <w:pPr>
        <w:tabs>
          <w:tab w:val="left" w:pos="992"/>
        </w:tabs>
        <w:spacing w:line="480" w:lineRule="exact"/>
        <w:ind w:firstLine="480"/>
        <w:rPr>
          <w:rFonts w:ascii="宋体" w:hAnsi="宋体" w:cs="宋体"/>
          <w:color w:val="000000"/>
          <w:sz w:val="24"/>
        </w:rPr>
      </w:pPr>
      <w:r>
        <w:rPr>
          <w:rFonts w:hint="eastAsia" w:ascii="宋体" w:hAnsi="宋体" w:cs="宋体"/>
          <w:b/>
          <w:color w:val="000000"/>
          <w:sz w:val="24"/>
          <w:lang w:bidi="ar"/>
        </w:rPr>
        <w:t>2.3.3.3</w:t>
      </w:r>
      <w:r>
        <w:rPr>
          <w:rFonts w:hint="eastAsia" w:ascii="宋体" w:hAnsi="宋体" w:cs="宋体"/>
          <w:color w:val="000000"/>
          <w:sz w:val="24"/>
          <w:lang w:bidi="ar"/>
        </w:rPr>
        <w:t>乙方应按以下第【</w:t>
      </w:r>
      <w:r>
        <w:rPr>
          <w:rFonts w:hint="eastAsia" w:ascii="宋体" w:hAnsi="宋体" w:cs="宋体"/>
          <w:color w:val="000000"/>
          <w:sz w:val="24"/>
          <w:lang w:val="en-US" w:eastAsia="zh-CN" w:bidi="ar"/>
        </w:rPr>
        <w:t>3</w:t>
      </w:r>
      <w:r>
        <w:rPr>
          <w:rFonts w:hint="eastAsia" w:ascii="宋体" w:hAnsi="宋体" w:cs="宋体"/>
          <w:color w:val="000000"/>
          <w:sz w:val="24"/>
          <w:lang w:bidi="ar"/>
        </w:rPr>
        <w:t>】方式结算和支付资金占用费</w:t>
      </w:r>
      <w:r>
        <w:rPr>
          <w:rFonts w:hint="eastAsia" w:ascii="宋体" w:hAnsi="宋体" w:cs="宋体"/>
          <w:color w:val="000000"/>
          <w:sz w:val="24"/>
          <w:lang w:eastAsia="zh-CN" w:bidi="ar"/>
        </w:rPr>
        <w:t>（</w:t>
      </w:r>
      <w:r>
        <w:rPr>
          <w:rFonts w:hint="eastAsia" w:ascii="宋体" w:hAnsi="宋体" w:cs="宋体"/>
          <w:color w:val="000000"/>
          <w:sz w:val="24"/>
          <w:lang w:val="en-US" w:eastAsia="zh-CN" w:bidi="ar"/>
        </w:rPr>
        <w:t>若有</w:t>
      </w:r>
      <w:r>
        <w:rPr>
          <w:rFonts w:hint="eastAsia" w:ascii="宋体" w:hAnsi="宋体" w:cs="宋体"/>
          <w:color w:val="000000"/>
          <w:sz w:val="24"/>
          <w:lang w:eastAsia="zh-CN" w:bidi="ar"/>
        </w:rPr>
        <w:t>）</w:t>
      </w:r>
      <w:r>
        <w:rPr>
          <w:rFonts w:hint="eastAsia" w:ascii="宋体" w:hAnsi="宋体" w:cs="宋体"/>
          <w:color w:val="000000"/>
          <w:sz w:val="24"/>
          <w:lang w:bidi="ar"/>
        </w:rPr>
        <w:t>：</w:t>
      </w:r>
    </w:p>
    <w:p>
      <w:pPr>
        <w:tabs>
          <w:tab w:val="left" w:pos="992"/>
        </w:tabs>
        <w:spacing w:line="480" w:lineRule="exact"/>
        <w:ind w:firstLine="480"/>
        <w:rPr>
          <w:rFonts w:ascii="宋体" w:hAnsi="宋体" w:cs="宋体"/>
          <w:color w:val="000000"/>
          <w:sz w:val="24"/>
        </w:rPr>
      </w:pPr>
      <w:r>
        <w:rPr>
          <w:rFonts w:hint="eastAsia" w:ascii="宋体" w:hAnsi="宋体" w:cs="宋体"/>
          <w:color w:val="000000"/>
          <w:sz w:val="24"/>
          <w:lang w:bidi="ar"/>
        </w:rPr>
        <w:t>（1）乙方应于[   ]年[   ]月[   ]前一次性向甲方支付全部资金占用费。</w:t>
      </w:r>
    </w:p>
    <w:p>
      <w:pPr>
        <w:tabs>
          <w:tab w:val="left" w:pos="992"/>
        </w:tabs>
        <w:spacing w:line="480" w:lineRule="exact"/>
        <w:ind w:firstLine="480"/>
        <w:rPr>
          <w:rFonts w:ascii="宋体" w:hAnsi="宋体" w:cs="宋体"/>
          <w:color w:val="000000"/>
          <w:sz w:val="24"/>
        </w:rPr>
      </w:pPr>
      <w:r>
        <w:rPr>
          <w:rFonts w:hint="eastAsia" w:ascii="宋体" w:hAnsi="宋体" w:cs="宋体"/>
          <w:color w:val="000000"/>
          <w:sz w:val="24"/>
          <w:lang w:bidi="ar"/>
        </w:rPr>
        <w:t>（2）按月结算和支付，资金占用费结算和支付日为每自然月[   ]日。</w:t>
      </w:r>
    </w:p>
    <w:p>
      <w:pPr>
        <w:tabs>
          <w:tab w:val="left" w:pos="992"/>
        </w:tabs>
        <w:spacing w:line="480" w:lineRule="exact"/>
        <w:ind w:firstLine="480"/>
        <w:rPr>
          <w:rFonts w:ascii="宋体" w:hAnsi="宋体" w:cs="宋体"/>
          <w:color w:val="000000"/>
          <w:sz w:val="24"/>
          <w:lang w:bidi="ar"/>
        </w:rPr>
      </w:pPr>
      <w:r>
        <w:rPr>
          <w:rFonts w:hint="eastAsia" w:ascii="宋体" w:hAnsi="宋体" w:cs="宋体"/>
          <w:color w:val="000000"/>
          <w:sz w:val="24"/>
          <w:lang w:bidi="ar"/>
        </w:rPr>
        <w:t>（3）按季结算和支付，资金占用费结算和支付日为每自然季度末月[1</w:t>
      </w:r>
      <w:r>
        <w:rPr>
          <w:rFonts w:ascii="宋体" w:hAnsi="宋体" w:cs="宋体"/>
          <w:color w:val="000000"/>
          <w:sz w:val="24"/>
          <w:lang w:bidi="ar"/>
        </w:rPr>
        <w:t>5</w:t>
      </w:r>
      <w:r>
        <w:rPr>
          <w:rFonts w:hint="eastAsia" w:ascii="宋体" w:hAnsi="宋体" w:cs="宋体"/>
          <w:color w:val="000000"/>
          <w:sz w:val="24"/>
          <w:lang w:bidi="ar"/>
        </w:rPr>
        <w:t>]日。</w:t>
      </w:r>
    </w:p>
    <w:p>
      <w:pPr>
        <w:tabs>
          <w:tab w:val="left" w:pos="992"/>
        </w:tabs>
        <w:spacing w:line="480" w:lineRule="exact"/>
        <w:ind w:firstLine="480"/>
        <w:rPr>
          <w:rFonts w:ascii="宋体" w:hAnsi="宋体" w:cs="宋体"/>
          <w:color w:val="000000"/>
          <w:sz w:val="24"/>
        </w:rPr>
      </w:pPr>
      <w:r>
        <w:rPr>
          <w:rFonts w:hint="eastAsia" w:ascii="宋体" w:hAnsi="宋体" w:cs="宋体"/>
          <w:color w:val="000000"/>
          <w:sz w:val="24"/>
          <w:lang w:bidi="ar"/>
        </w:rPr>
        <w:t>（4）按半年结算和支付，资金占用费结算和支付日每年[   ]月[   ]日、[   ]月[   ]日。</w:t>
      </w:r>
    </w:p>
    <w:p>
      <w:pPr>
        <w:tabs>
          <w:tab w:val="left" w:pos="992"/>
        </w:tabs>
        <w:spacing w:line="480" w:lineRule="exact"/>
        <w:ind w:firstLine="480"/>
        <w:rPr>
          <w:rFonts w:ascii="宋体" w:hAnsi="宋体" w:cs="宋体"/>
          <w:color w:val="000000"/>
          <w:sz w:val="24"/>
          <w:lang w:bidi="ar"/>
        </w:rPr>
      </w:pPr>
      <w:r>
        <w:rPr>
          <w:rFonts w:hint="eastAsia" w:ascii="宋体" w:hAnsi="宋体" w:cs="宋体"/>
          <w:color w:val="000000"/>
          <w:sz w:val="24"/>
          <w:lang w:bidi="ar"/>
        </w:rPr>
        <w:t>乙方每次支付转让价款时，相应资金占用费应随同当期转让价款同时结清。</w:t>
      </w:r>
    </w:p>
    <w:p>
      <w:pPr>
        <w:tabs>
          <w:tab w:val="left" w:pos="992"/>
        </w:tabs>
        <w:spacing w:line="480" w:lineRule="exact"/>
        <w:ind w:firstLine="480"/>
        <w:rPr>
          <w:rFonts w:ascii="宋体" w:hAnsi="宋体" w:cs="宋体"/>
          <w:color w:val="000000"/>
          <w:sz w:val="24"/>
        </w:rPr>
      </w:pPr>
      <w:r>
        <w:rPr>
          <w:rFonts w:hint="eastAsia" w:ascii="宋体" w:hAnsi="宋体" w:cs="宋体"/>
          <w:b/>
          <w:color w:val="000000"/>
          <w:sz w:val="24"/>
          <w:lang w:bidi="ar"/>
        </w:rPr>
        <w:t>2.3.4</w:t>
      </w:r>
      <w:r>
        <w:rPr>
          <w:rFonts w:hint="eastAsia" w:ascii="宋体" w:hAnsi="宋体" w:cs="宋体"/>
          <w:color w:val="000000"/>
          <w:sz w:val="24"/>
          <w:lang w:bidi="ar"/>
        </w:rPr>
        <w:t>乙方所支付的款项按照下列顺序依次抵扣：</w:t>
      </w:r>
    </w:p>
    <w:p>
      <w:pPr>
        <w:tabs>
          <w:tab w:val="left" w:pos="992"/>
          <w:tab w:val="left" w:pos="1418"/>
        </w:tabs>
        <w:spacing w:line="480" w:lineRule="exact"/>
        <w:ind w:firstLine="480"/>
        <w:rPr>
          <w:rFonts w:ascii="宋体" w:hAnsi="宋体" w:cs="宋体"/>
          <w:color w:val="000000"/>
          <w:sz w:val="24"/>
        </w:rPr>
      </w:pPr>
      <w:r>
        <w:rPr>
          <w:rFonts w:hint="eastAsia" w:ascii="宋体" w:hAnsi="宋体" w:cs="宋体"/>
          <w:color w:val="000000"/>
          <w:sz w:val="24"/>
          <w:lang w:bidi="ar"/>
        </w:rPr>
        <w:t>2.3.4.1本合同项下约定的各项费用（包括但不限于处置费用、甲方垫付费用）；</w:t>
      </w:r>
    </w:p>
    <w:p>
      <w:pPr>
        <w:tabs>
          <w:tab w:val="left" w:pos="992"/>
          <w:tab w:val="left" w:pos="1418"/>
        </w:tabs>
        <w:spacing w:line="480" w:lineRule="exact"/>
        <w:ind w:firstLine="480"/>
        <w:rPr>
          <w:rFonts w:ascii="宋体" w:hAnsi="宋体" w:cs="宋体"/>
          <w:color w:val="000000"/>
          <w:sz w:val="24"/>
        </w:rPr>
      </w:pPr>
      <w:r>
        <w:rPr>
          <w:rFonts w:hint="eastAsia" w:ascii="宋体" w:hAnsi="宋体" w:cs="宋体"/>
          <w:color w:val="000000"/>
          <w:sz w:val="24"/>
          <w:lang w:bidi="ar"/>
        </w:rPr>
        <w:t>2.3.4.2违约金、赔偿金等（如有）；</w:t>
      </w:r>
    </w:p>
    <w:p>
      <w:pPr>
        <w:tabs>
          <w:tab w:val="left" w:pos="992"/>
          <w:tab w:val="left" w:pos="1418"/>
        </w:tabs>
        <w:spacing w:line="480" w:lineRule="exact"/>
        <w:ind w:firstLine="480"/>
        <w:rPr>
          <w:rFonts w:ascii="宋体" w:hAnsi="宋体" w:cs="宋体"/>
          <w:color w:val="000000"/>
          <w:sz w:val="24"/>
        </w:rPr>
      </w:pPr>
      <w:r>
        <w:rPr>
          <w:rFonts w:hint="eastAsia" w:ascii="宋体" w:hAnsi="宋体" w:cs="宋体"/>
          <w:color w:val="000000"/>
          <w:sz w:val="24"/>
          <w:lang w:bidi="ar"/>
        </w:rPr>
        <w:t>2.3.4.3资金占用费；</w:t>
      </w:r>
    </w:p>
    <w:p>
      <w:pPr>
        <w:tabs>
          <w:tab w:val="left" w:pos="992"/>
          <w:tab w:val="left" w:pos="1418"/>
        </w:tabs>
        <w:spacing w:line="480" w:lineRule="exact"/>
        <w:ind w:firstLine="480"/>
        <w:rPr>
          <w:rFonts w:ascii="宋体" w:hAnsi="宋体" w:cs="宋体"/>
          <w:color w:val="000000"/>
          <w:sz w:val="24"/>
        </w:rPr>
      </w:pPr>
      <w:r>
        <w:rPr>
          <w:rFonts w:hint="eastAsia" w:ascii="宋体" w:hAnsi="宋体" w:cs="宋体"/>
          <w:color w:val="000000"/>
          <w:sz w:val="24"/>
          <w:lang w:bidi="ar"/>
        </w:rPr>
        <w:t>2.3.4.4标的债权转让价款。</w:t>
      </w:r>
    </w:p>
    <w:p>
      <w:pPr>
        <w:tabs>
          <w:tab w:val="left" w:pos="992"/>
          <w:tab w:val="left" w:pos="1418"/>
        </w:tabs>
        <w:spacing w:line="480" w:lineRule="exact"/>
        <w:ind w:firstLine="480"/>
        <w:rPr>
          <w:rFonts w:ascii="宋体" w:hAnsi="宋体" w:cs="宋体"/>
          <w:color w:val="000000"/>
          <w:sz w:val="24"/>
        </w:rPr>
      </w:pPr>
      <w:r>
        <w:rPr>
          <w:rFonts w:hint="eastAsia" w:ascii="宋体" w:hAnsi="宋体" w:cs="宋体"/>
          <w:b/>
          <w:color w:val="000000"/>
          <w:sz w:val="24"/>
          <w:lang w:bidi="ar"/>
        </w:rPr>
        <w:t>2.3.5</w:t>
      </w:r>
      <w:r>
        <w:rPr>
          <w:rFonts w:hint="eastAsia" w:ascii="宋体" w:hAnsi="宋体" w:cs="宋体"/>
          <w:color w:val="000000"/>
          <w:sz w:val="24"/>
          <w:lang w:bidi="ar"/>
        </w:rPr>
        <w:t>转让价款和资金占用费全部付清之前，标的债权清收回款参照2.3.4条应当首先用于抵扣本合同第（2.3.4.1）项至第（2.3.4.3）约定的各项费用，剩余部分根据本合同第2.3.3条的约定冲抵资金占用费的计算基数。</w:t>
      </w:r>
    </w:p>
    <w:p>
      <w:pPr>
        <w:tabs>
          <w:tab w:val="left" w:pos="992"/>
          <w:tab w:val="left" w:pos="1418"/>
        </w:tabs>
        <w:spacing w:line="480" w:lineRule="exact"/>
        <w:ind w:firstLine="480"/>
        <w:rPr>
          <w:rFonts w:hint="eastAsia" w:ascii="宋体" w:hAnsi="宋体" w:cs="宋体"/>
          <w:color w:val="000000"/>
          <w:sz w:val="24"/>
          <w:lang w:bidi="ar"/>
        </w:rPr>
      </w:pPr>
      <w:r>
        <w:rPr>
          <w:rFonts w:hint="eastAsia" w:ascii="宋体" w:hAnsi="宋体" w:cs="宋体"/>
          <w:b/>
          <w:color w:val="000000"/>
          <w:sz w:val="24"/>
          <w:lang w:bidi="ar"/>
        </w:rPr>
        <w:t>2.3.6</w:t>
      </w:r>
      <w:r>
        <w:rPr>
          <w:rFonts w:hint="eastAsia" w:ascii="宋体" w:hAnsi="宋体" w:cs="宋体"/>
          <w:color w:val="000000"/>
          <w:sz w:val="24"/>
          <w:lang w:bidi="ar"/>
        </w:rPr>
        <w:t>乙方应将标的债权转让价款及资金占用费、</w:t>
      </w:r>
      <w:r>
        <w:rPr>
          <w:rFonts w:hint="eastAsia" w:ascii="宋体" w:hAnsi="宋体" w:cs="黑体"/>
          <w:color w:val="000000"/>
          <w:sz w:val="24"/>
          <w:lang w:bidi="ar"/>
        </w:rPr>
        <w:t>违约金、赔偿金及约定的各项费用等全部合</w:t>
      </w:r>
      <w:r>
        <w:rPr>
          <w:rFonts w:hint="eastAsia" w:ascii="宋体" w:hAnsi="宋体" w:cs="宋体"/>
          <w:color w:val="000000"/>
          <w:sz w:val="24"/>
          <w:lang w:bidi="ar"/>
        </w:rPr>
        <w:t>同款项支付至甲方下列指定账户：</w:t>
      </w:r>
      <w:bookmarkEnd w:id="103"/>
    </w:p>
    <w:p>
      <w:pPr>
        <w:tabs>
          <w:tab w:val="left" w:pos="992"/>
          <w:tab w:val="left" w:pos="1418"/>
        </w:tabs>
        <w:spacing w:line="480" w:lineRule="exact"/>
        <w:ind w:firstLine="480"/>
        <w:rPr>
          <w:rFonts w:hint="eastAsia" w:ascii="宋体" w:hAnsi="宋体" w:cs="宋体"/>
          <w:color w:val="000000"/>
          <w:sz w:val="24"/>
          <w:lang w:bidi="ar"/>
        </w:rPr>
      </w:pPr>
      <w:r>
        <w:rPr>
          <w:rFonts w:hint="eastAsia" w:ascii="宋体" w:hAnsi="宋体" w:cs="宋体"/>
          <w:color w:val="000000"/>
          <w:sz w:val="24"/>
          <w:lang w:bidi="ar"/>
        </w:rPr>
        <w:t xml:space="preserve">户  名：成都益航资产管理有限公司  </w:t>
      </w:r>
    </w:p>
    <w:p>
      <w:pPr>
        <w:tabs>
          <w:tab w:val="left" w:pos="992"/>
          <w:tab w:val="left" w:pos="1418"/>
        </w:tabs>
        <w:spacing w:line="480" w:lineRule="exact"/>
        <w:ind w:firstLine="480"/>
        <w:rPr>
          <w:rFonts w:hint="eastAsia" w:ascii="宋体" w:hAnsi="宋体" w:cs="宋体"/>
          <w:color w:val="000000"/>
          <w:sz w:val="24"/>
          <w:lang w:bidi="ar"/>
        </w:rPr>
      </w:pPr>
      <w:r>
        <w:rPr>
          <w:rFonts w:hint="eastAsia" w:ascii="宋体" w:hAnsi="宋体" w:cs="宋体"/>
          <w:color w:val="000000"/>
          <w:sz w:val="24"/>
          <w:lang w:bidi="ar"/>
        </w:rPr>
        <w:t>账  号：</w:t>
      </w:r>
      <w:r>
        <w:rPr>
          <w:rFonts w:hint="eastAsia" w:ascii="宋体" w:hAnsi="宋体" w:cs="宋体"/>
          <w:color w:val="000000"/>
          <w:sz w:val="24"/>
          <w:lang w:val="en-US" w:eastAsia="zh-CN" w:bidi="ar"/>
        </w:rPr>
        <w:t xml:space="preserve">          </w:t>
      </w:r>
      <w:bookmarkStart w:id="321" w:name="_GoBack"/>
      <w:bookmarkEnd w:id="321"/>
    </w:p>
    <w:p>
      <w:pPr>
        <w:tabs>
          <w:tab w:val="left" w:pos="992"/>
          <w:tab w:val="left" w:pos="1418"/>
        </w:tabs>
        <w:spacing w:line="480" w:lineRule="exact"/>
        <w:ind w:firstLine="480"/>
        <w:rPr>
          <w:rFonts w:hint="default" w:ascii="宋体" w:hAnsi="宋体" w:eastAsia="宋体" w:cs="宋体"/>
          <w:color w:val="000000"/>
          <w:sz w:val="24"/>
          <w:highlight w:val="yellow"/>
          <w:lang w:val="en-US" w:eastAsia="zh-CN" w:bidi="ar"/>
        </w:rPr>
      </w:pPr>
      <w:r>
        <w:rPr>
          <w:rFonts w:hint="eastAsia" w:ascii="宋体" w:hAnsi="宋体" w:cs="宋体"/>
          <w:color w:val="000000"/>
          <w:sz w:val="24"/>
          <w:lang w:bidi="ar"/>
        </w:rPr>
        <w:t>开户行：</w:t>
      </w:r>
      <w:r>
        <w:rPr>
          <w:rFonts w:hint="eastAsia" w:ascii="宋体" w:hAnsi="宋体" w:cs="宋体"/>
          <w:color w:val="000000"/>
          <w:sz w:val="24"/>
          <w:highlight w:val="none"/>
          <w:lang w:val="en-US" w:eastAsia="zh-CN" w:bidi="ar"/>
        </w:rPr>
        <w:t xml:space="preserve">        </w:t>
      </w:r>
    </w:p>
    <w:p>
      <w:pPr>
        <w:numPr>
          <w:ilvl w:val="0"/>
          <w:numId w:val="2"/>
        </w:numPr>
        <w:spacing w:line="480" w:lineRule="exact"/>
        <w:ind w:left="0" w:firstLine="480"/>
        <w:outlineLvl w:val="0"/>
        <w:rPr>
          <w:rFonts w:ascii="宋体" w:hAnsi="宋体" w:cs="宋体"/>
          <w:b/>
          <w:color w:val="000000"/>
          <w:sz w:val="24"/>
        </w:rPr>
      </w:pPr>
      <w:bookmarkStart w:id="105" w:name="_Toc136407644"/>
      <w:bookmarkEnd w:id="105"/>
      <w:bookmarkStart w:id="106" w:name="_Toc136407637"/>
      <w:bookmarkEnd w:id="106"/>
      <w:bookmarkStart w:id="107" w:name="_Toc136335228"/>
      <w:bookmarkEnd w:id="107"/>
      <w:bookmarkStart w:id="108" w:name="_Toc136407634"/>
      <w:bookmarkEnd w:id="108"/>
      <w:bookmarkStart w:id="109" w:name="_Toc136335241"/>
      <w:bookmarkEnd w:id="109"/>
      <w:bookmarkStart w:id="110" w:name="_Toc136407640"/>
      <w:bookmarkEnd w:id="110"/>
      <w:bookmarkStart w:id="111" w:name="_Toc136335229"/>
      <w:bookmarkEnd w:id="111"/>
      <w:bookmarkStart w:id="112" w:name="_Toc136335239"/>
      <w:bookmarkEnd w:id="112"/>
      <w:bookmarkStart w:id="113" w:name="_Toc136407632"/>
      <w:bookmarkEnd w:id="113"/>
      <w:bookmarkStart w:id="114" w:name="_Toc136407633"/>
      <w:bookmarkEnd w:id="114"/>
      <w:bookmarkStart w:id="115" w:name="_Toc136407638"/>
      <w:bookmarkEnd w:id="115"/>
      <w:bookmarkStart w:id="116" w:name="_Toc136407641"/>
      <w:bookmarkEnd w:id="116"/>
      <w:bookmarkStart w:id="117" w:name="_Toc136407642"/>
      <w:bookmarkEnd w:id="117"/>
      <w:bookmarkStart w:id="118" w:name="_Toc136335240"/>
      <w:bookmarkEnd w:id="118"/>
      <w:bookmarkStart w:id="119" w:name="_Toc136407639"/>
      <w:bookmarkEnd w:id="119"/>
      <w:bookmarkStart w:id="120" w:name="_Toc136335230"/>
      <w:bookmarkEnd w:id="120"/>
      <w:bookmarkStart w:id="121" w:name="_Toc136407635"/>
      <w:bookmarkEnd w:id="121"/>
      <w:bookmarkStart w:id="122" w:name="_Toc136335233"/>
      <w:bookmarkEnd w:id="122"/>
      <w:bookmarkStart w:id="123" w:name="_Toc136335236"/>
      <w:bookmarkEnd w:id="123"/>
      <w:bookmarkStart w:id="124" w:name="_Toc136407643"/>
      <w:bookmarkEnd w:id="124"/>
      <w:bookmarkStart w:id="125" w:name="_Toc136335234"/>
      <w:bookmarkEnd w:id="125"/>
      <w:bookmarkStart w:id="126" w:name="_Toc136407631"/>
      <w:bookmarkEnd w:id="126"/>
      <w:bookmarkStart w:id="127" w:name="_Toc136335232"/>
      <w:bookmarkEnd w:id="127"/>
      <w:bookmarkStart w:id="128" w:name="_Toc134425907"/>
      <w:bookmarkEnd w:id="128"/>
      <w:bookmarkStart w:id="129" w:name="_Toc136335231"/>
      <w:bookmarkEnd w:id="129"/>
      <w:bookmarkStart w:id="130" w:name="_Toc136407636"/>
      <w:bookmarkEnd w:id="130"/>
      <w:bookmarkStart w:id="131" w:name="_Toc136335237"/>
      <w:bookmarkEnd w:id="131"/>
      <w:bookmarkStart w:id="132" w:name="_Toc136335238"/>
      <w:bookmarkEnd w:id="132"/>
      <w:bookmarkStart w:id="133" w:name="_Toc136335235"/>
      <w:bookmarkEnd w:id="133"/>
      <w:bookmarkStart w:id="134" w:name="_Toc129242607"/>
      <w:bookmarkStart w:id="135" w:name="_Toc100671836"/>
      <w:bookmarkStart w:id="136" w:name="_Toc100563197"/>
      <w:bookmarkStart w:id="137" w:name="_Toc174510038"/>
      <w:bookmarkStart w:id="138" w:name="_Toc91513346"/>
      <w:bookmarkStart w:id="139" w:name="_Toc93812486"/>
      <w:bookmarkStart w:id="140" w:name="_Toc155085473"/>
      <w:bookmarkStart w:id="141" w:name="_Toc90354100"/>
      <w:r>
        <w:rPr>
          <w:rFonts w:hint="eastAsia" w:ascii="宋体" w:hAnsi="宋体" w:cs="宋体"/>
          <w:b/>
          <w:color w:val="000000"/>
          <w:sz w:val="24"/>
          <w:lang w:bidi="ar"/>
        </w:rPr>
        <w:t>标的债权的</w:t>
      </w:r>
      <w:bookmarkEnd w:id="134"/>
      <w:bookmarkEnd w:id="135"/>
      <w:bookmarkEnd w:id="136"/>
      <w:bookmarkEnd w:id="137"/>
      <w:bookmarkEnd w:id="138"/>
      <w:bookmarkEnd w:id="139"/>
      <w:bookmarkEnd w:id="140"/>
      <w:bookmarkEnd w:id="141"/>
      <w:r>
        <w:rPr>
          <w:rFonts w:hint="eastAsia" w:ascii="宋体" w:hAnsi="宋体" w:cs="宋体"/>
          <w:b/>
          <w:color w:val="000000"/>
          <w:sz w:val="24"/>
          <w:lang w:bidi="ar"/>
        </w:rPr>
        <w:t>交割及过渡期资产维护</w:t>
      </w:r>
    </w:p>
    <w:p>
      <w:pPr>
        <w:tabs>
          <w:tab w:val="left" w:pos="1260"/>
        </w:tabs>
        <w:spacing w:line="480" w:lineRule="exact"/>
        <w:ind w:firstLine="480"/>
        <w:rPr>
          <w:rFonts w:ascii="宋体" w:hAnsi="宋体" w:cs="黑体"/>
          <w:b/>
          <w:bCs/>
          <w:color w:val="000000"/>
          <w:sz w:val="24"/>
          <w:lang w:bidi="ar"/>
        </w:rPr>
      </w:pPr>
      <w:r>
        <w:rPr>
          <w:rFonts w:hint="eastAsia" w:ascii="宋体" w:hAnsi="宋体" w:cs="黑体"/>
          <w:b/>
          <w:bCs/>
          <w:color w:val="000000"/>
          <w:sz w:val="24"/>
          <w:lang w:bidi="ar"/>
        </w:rPr>
        <w:t>3.1标的债权的转移</w:t>
      </w:r>
    </w:p>
    <w:p>
      <w:pPr>
        <w:tabs>
          <w:tab w:val="left" w:pos="1260"/>
        </w:tabs>
        <w:spacing w:line="480" w:lineRule="exact"/>
        <w:ind w:firstLine="480"/>
        <w:rPr>
          <w:rFonts w:ascii="宋体" w:hAnsi="宋体" w:cs="黑体"/>
          <w:color w:val="000000"/>
          <w:sz w:val="24"/>
          <w:lang w:bidi="ar"/>
        </w:rPr>
      </w:pPr>
      <w:r>
        <w:rPr>
          <w:rFonts w:hint="eastAsia" w:ascii="宋体" w:hAnsi="宋体" w:cs="黑体"/>
          <w:color w:val="000000"/>
          <w:sz w:val="24"/>
          <w:lang w:bidi="ar"/>
        </w:rPr>
        <w:t>3</w:t>
      </w:r>
      <w:r>
        <w:rPr>
          <w:rFonts w:ascii="宋体" w:hAnsi="宋体" w:cs="黑体"/>
          <w:color w:val="000000"/>
          <w:sz w:val="24"/>
          <w:lang w:bidi="ar"/>
        </w:rPr>
        <w:t>.1.1</w:t>
      </w:r>
      <w:r>
        <w:rPr>
          <w:rFonts w:hint="eastAsia" w:ascii="宋体" w:hAnsi="宋体" w:cs="黑体"/>
          <w:color w:val="000000"/>
          <w:sz w:val="24"/>
          <w:lang w:bidi="ar"/>
        </w:rPr>
        <w:t>本合同签署后，自基准日起标的债权的所有风险即转移给乙方。甲方向甲方前手需履行的支付标的债权转让价款以外的义务由乙方承担，包括但不限于服务报酬、承继第三方中介机构服务协议、承担基准日后甲方前手对标的债权自主处置的后果等。无论标的债权的处置权是否转移给乙方，甲方不对标的债权的价值、收益、清收结果等向乙方作出任何承诺或保证，因标的债权处置产生的一切风险均由乙方承担。</w:t>
      </w:r>
    </w:p>
    <w:p>
      <w:pPr>
        <w:tabs>
          <w:tab w:val="left" w:pos="1260"/>
        </w:tabs>
        <w:spacing w:line="480" w:lineRule="exact"/>
        <w:ind w:firstLine="480"/>
        <w:rPr>
          <w:rFonts w:ascii="宋体" w:hAnsi="宋体" w:cs="黑体"/>
          <w:color w:val="000000"/>
          <w:sz w:val="24"/>
          <w:lang w:bidi="ar"/>
        </w:rPr>
      </w:pPr>
      <w:r>
        <w:rPr>
          <w:rFonts w:ascii="宋体" w:hAnsi="宋体" w:cs="黑体"/>
          <w:b w:val="0"/>
          <w:bCs w:val="0"/>
          <w:color w:val="000000"/>
          <w:sz w:val="24"/>
          <w:lang w:bidi="ar"/>
        </w:rPr>
        <w:t>3.1.2</w:t>
      </w:r>
      <w:r>
        <w:rPr>
          <w:rFonts w:hint="eastAsia" w:ascii="宋体" w:hAnsi="宋体" w:cs="黑体"/>
          <w:color w:val="000000"/>
          <w:sz w:val="24"/>
          <w:lang w:bidi="ar"/>
        </w:rPr>
        <w:t>过渡期内，甲方仍然保留标的债权所有权，甲方有权自行决定标的债权处置清收的事项。</w:t>
      </w:r>
    </w:p>
    <w:p>
      <w:pPr>
        <w:tabs>
          <w:tab w:val="left" w:pos="1260"/>
        </w:tabs>
        <w:spacing w:line="480" w:lineRule="exact"/>
        <w:ind w:firstLine="480"/>
        <w:rPr>
          <w:rFonts w:ascii="宋体" w:hAnsi="宋体" w:cs="黑体"/>
          <w:color w:val="000000"/>
          <w:sz w:val="24"/>
          <w:lang w:bidi="ar"/>
        </w:rPr>
      </w:pPr>
      <w:r>
        <w:rPr>
          <w:rFonts w:ascii="宋体" w:hAnsi="宋体" w:cs="黑体"/>
          <w:color w:val="000000"/>
          <w:sz w:val="24"/>
          <w:lang w:bidi="ar"/>
        </w:rPr>
        <w:t>3.1.3</w:t>
      </w:r>
      <w:r>
        <w:rPr>
          <w:rFonts w:hint="eastAsia" w:ascii="宋体" w:hAnsi="宋体" w:cs="黑体"/>
          <w:color w:val="000000"/>
          <w:sz w:val="24"/>
          <w:lang w:bidi="ar"/>
        </w:rPr>
        <w:t>过渡期内，为避免丧失诉讼时效或资产清收的法律程序中断，为避免担保物或抵债资产出现损毁、灭失等风险，乙方应负责各项时效及担保物、抵债资产的管理，应乙方要求甲方给予必要协助。因前述事项所支出的全部费用均由乙方承担。</w:t>
      </w:r>
    </w:p>
    <w:p>
      <w:pPr>
        <w:tabs>
          <w:tab w:val="left" w:pos="1260"/>
        </w:tabs>
        <w:spacing w:line="480" w:lineRule="exact"/>
        <w:ind w:firstLine="480"/>
        <w:rPr>
          <w:rFonts w:ascii="宋体" w:hAnsi="宋体" w:cs="黑体"/>
          <w:color w:val="000000"/>
          <w:sz w:val="24"/>
          <w:lang w:bidi="ar"/>
        </w:rPr>
      </w:pPr>
      <w:r>
        <w:rPr>
          <w:rFonts w:ascii="宋体" w:hAnsi="宋体" w:cs="黑体"/>
          <w:color w:val="000000"/>
          <w:sz w:val="24"/>
          <w:lang w:bidi="ar"/>
        </w:rPr>
        <w:t>3.1.4</w:t>
      </w:r>
      <w:r>
        <w:rPr>
          <w:rFonts w:hint="eastAsia" w:ascii="宋体" w:hAnsi="宋体" w:cs="黑体"/>
          <w:color w:val="000000"/>
          <w:sz w:val="24"/>
          <w:lang w:bidi="ar"/>
        </w:rPr>
        <w:t>乙方应无条件接受基准日至交割日标的债权发生的任何变化，交割日后，乙方可依照法律、行政法规规定对标的债权涉及的债务人、担保人行使债权人的一切权利，并自行承担标的债权处置过程中可能发生的任何费用、责任、风险和损失。</w:t>
      </w:r>
    </w:p>
    <w:p>
      <w:pPr>
        <w:tabs>
          <w:tab w:val="left" w:pos="1260"/>
        </w:tabs>
        <w:spacing w:line="480" w:lineRule="exact"/>
        <w:ind w:firstLine="480"/>
        <w:rPr>
          <w:rFonts w:ascii="宋体" w:hAnsi="宋体" w:cs="黑体"/>
          <w:b/>
          <w:bCs/>
          <w:color w:val="000000"/>
          <w:sz w:val="24"/>
          <w:lang w:bidi="ar"/>
        </w:rPr>
      </w:pPr>
      <w:r>
        <w:rPr>
          <w:rFonts w:ascii="宋体" w:hAnsi="宋体" w:cs="黑体"/>
          <w:b/>
          <w:bCs/>
          <w:color w:val="000000"/>
          <w:sz w:val="24"/>
          <w:lang w:bidi="ar"/>
        </w:rPr>
        <w:t>3.2</w:t>
      </w:r>
      <w:r>
        <w:rPr>
          <w:rFonts w:hint="eastAsia" w:ascii="宋体" w:hAnsi="宋体" w:cs="黑体"/>
          <w:b/>
          <w:bCs/>
          <w:color w:val="000000"/>
          <w:sz w:val="24"/>
          <w:lang w:bidi="ar"/>
        </w:rPr>
        <w:t>现金的交付</w:t>
      </w:r>
    </w:p>
    <w:p>
      <w:pPr>
        <w:tabs>
          <w:tab w:val="left" w:pos="1260"/>
        </w:tabs>
        <w:spacing w:line="480" w:lineRule="exact"/>
        <w:ind w:firstLine="480"/>
        <w:rPr>
          <w:rFonts w:ascii="宋体" w:hAnsi="宋体" w:cs="黑体"/>
          <w:color w:val="000000"/>
          <w:sz w:val="24"/>
          <w:lang w:bidi="ar"/>
        </w:rPr>
      </w:pPr>
      <w:r>
        <w:rPr>
          <w:rFonts w:hint="eastAsia" w:ascii="宋体" w:hAnsi="宋体" w:cs="黑体"/>
          <w:color w:val="000000"/>
          <w:sz w:val="24"/>
          <w:lang w:bidi="ar"/>
        </w:rPr>
        <w:t>3</w:t>
      </w:r>
      <w:r>
        <w:rPr>
          <w:rFonts w:ascii="宋体" w:hAnsi="宋体" w:cs="黑体"/>
          <w:color w:val="000000"/>
          <w:sz w:val="24"/>
          <w:lang w:bidi="ar"/>
        </w:rPr>
        <w:t>.2.1</w:t>
      </w:r>
      <w:r>
        <w:rPr>
          <w:rFonts w:hint="eastAsia" w:ascii="宋体" w:hAnsi="宋体" w:cs="黑体"/>
          <w:color w:val="000000"/>
          <w:sz w:val="24"/>
          <w:lang w:bidi="ar"/>
        </w:rPr>
        <w:t>若在过渡期内，对标的债权进行处置实现了现金及非现金回收的，所得的现金回收在甲方处（不计息）；回收现金按2.3.4条约定进行冲抵，但须符合本合同2</w:t>
      </w:r>
      <w:r>
        <w:rPr>
          <w:rFonts w:ascii="宋体" w:hAnsi="宋体" w:cs="黑体"/>
          <w:color w:val="000000"/>
          <w:sz w:val="24"/>
          <w:lang w:bidi="ar"/>
        </w:rPr>
        <w:t>.3.</w:t>
      </w:r>
      <w:r>
        <w:rPr>
          <w:rFonts w:hint="eastAsia" w:ascii="宋体" w:hAnsi="宋体" w:cs="黑体"/>
          <w:color w:val="000000"/>
          <w:sz w:val="24"/>
          <w:lang w:bidi="ar"/>
        </w:rPr>
        <w:t>5</w:t>
      </w:r>
      <w:r>
        <w:rPr>
          <w:rFonts w:ascii="宋体" w:hAnsi="宋体" w:cs="黑体"/>
          <w:color w:val="000000"/>
          <w:sz w:val="24"/>
          <w:lang w:bidi="ar"/>
        </w:rPr>
        <w:t>的条件</w:t>
      </w:r>
      <w:r>
        <w:rPr>
          <w:rFonts w:hint="eastAsia" w:ascii="宋体" w:hAnsi="宋体" w:cs="黑体"/>
          <w:color w:val="000000"/>
          <w:sz w:val="24"/>
          <w:lang w:bidi="ar"/>
        </w:rPr>
        <w:t>；当且仅当标的债权清收现金回款等于或者超过本合同第2.3.4条约定的全部款项总和时，乙方方可向甲方申请结算，清收现金回款可按照第2.3.4条约定的顺序分别冲抵，且该结算日视同乙方付清转让价款之日，但同样须符合本合同2</w:t>
      </w:r>
      <w:r>
        <w:rPr>
          <w:rFonts w:ascii="宋体" w:hAnsi="宋体" w:cs="黑体"/>
          <w:color w:val="000000"/>
          <w:sz w:val="24"/>
          <w:lang w:bidi="ar"/>
        </w:rPr>
        <w:t>.3.</w:t>
      </w:r>
      <w:r>
        <w:rPr>
          <w:rFonts w:hint="eastAsia" w:ascii="宋体" w:hAnsi="宋体" w:cs="黑体"/>
          <w:color w:val="000000"/>
          <w:sz w:val="24"/>
          <w:lang w:bidi="ar"/>
        </w:rPr>
        <w:t>5</w:t>
      </w:r>
      <w:r>
        <w:rPr>
          <w:rFonts w:ascii="宋体" w:hAnsi="宋体" w:cs="黑体"/>
          <w:color w:val="000000"/>
          <w:sz w:val="24"/>
          <w:lang w:bidi="ar"/>
        </w:rPr>
        <w:t>的条件</w:t>
      </w:r>
      <w:r>
        <w:rPr>
          <w:rFonts w:hint="eastAsia" w:ascii="宋体" w:hAnsi="宋体" w:cs="黑体"/>
          <w:color w:val="000000"/>
          <w:sz w:val="24"/>
          <w:lang w:bidi="ar"/>
        </w:rPr>
        <w:t>。甲方应将剩余未冲抵的清收现金回款于结算日后十个工作日内移交给乙方。</w:t>
      </w:r>
    </w:p>
    <w:p>
      <w:pPr>
        <w:tabs>
          <w:tab w:val="left" w:pos="1260"/>
        </w:tabs>
        <w:spacing w:line="480" w:lineRule="exact"/>
        <w:ind w:firstLine="480"/>
        <w:rPr>
          <w:rFonts w:ascii="宋体" w:hAnsi="宋体" w:cs="黑体"/>
          <w:color w:val="000000"/>
          <w:sz w:val="24"/>
          <w:lang w:bidi="ar"/>
        </w:rPr>
      </w:pPr>
      <w:r>
        <w:rPr>
          <w:rFonts w:ascii="宋体" w:hAnsi="宋体" w:cs="黑体"/>
          <w:b/>
          <w:bCs/>
          <w:color w:val="000000"/>
          <w:sz w:val="24"/>
          <w:lang w:bidi="ar"/>
        </w:rPr>
        <w:t>3.2.2</w:t>
      </w:r>
      <w:r>
        <w:rPr>
          <w:rFonts w:hint="eastAsia" w:ascii="宋体" w:hAnsi="宋体" w:cs="黑体"/>
          <w:color w:val="000000"/>
          <w:sz w:val="24"/>
          <w:lang w:bidi="ar"/>
        </w:rPr>
        <w:t>除乙方主动申请外，甲方就3.</w:t>
      </w:r>
      <w:r>
        <w:rPr>
          <w:rFonts w:ascii="宋体" w:hAnsi="宋体" w:cs="黑体"/>
          <w:color w:val="000000"/>
          <w:sz w:val="24"/>
          <w:lang w:bidi="ar"/>
        </w:rPr>
        <w:t>2.1</w:t>
      </w:r>
      <w:r>
        <w:rPr>
          <w:rFonts w:hint="eastAsia" w:ascii="宋体" w:hAnsi="宋体" w:cs="黑体"/>
          <w:color w:val="000000"/>
          <w:sz w:val="24"/>
          <w:lang w:bidi="ar"/>
        </w:rPr>
        <w:t>条所涉资金，无须征得乙方同意，在书面通知乙方后可根据实际情况自行按照本合同2</w:t>
      </w:r>
      <w:r>
        <w:rPr>
          <w:rFonts w:ascii="宋体" w:hAnsi="宋体" w:cs="黑体"/>
          <w:color w:val="000000"/>
          <w:sz w:val="24"/>
          <w:lang w:bidi="ar"/>
        </w:rPr>
        <w:t>.3.5</w:t>
      </w:r>
      <w:r>
        <w:rPr>
          <w:rFonts w:hint="eastAsia" w:ascii="宋体" w:hAnsi="宋体" w:cs="黑体"/>
          <w:color w:val="000000"/>
          <w:sz w:val="24"/>
          <w:lang w:bidi="ar"/>
        </w:rPr>
        <w:t>条约定进行处理。</w:t>
      </w:r>
    </w:p>
    <w:p>
      <w:pPr>
        <w:tabs>
          <w:tab w:val="left" w:pos="1260"/>
        </w:tabs>
        <w:spacing w:line="480" w:lineRule="exact"/>
        <w:ind w:firstLine="480"/>
        <w:rPr>
          <w:rFonts w:ascii="宋体" w:hAnsi="宋体" w:cs="黑体"/>
          <w:b/>
          <w:bCs/>
          <w:color w:val="000000"/>
          <w:sz w:val="24"/>
          <w:lang w:bidi="ar"/>
        </w:rPr>
      </w:pPr>
      <w:r>
        <w:rPr>
          <w:rFonts w:hint="eastAsia" w:ascii="宋体" w:hAnsi="宋体" w:cs="黑体"/>
          <w:b/>
          <w:bCs/>
          <w:color w:val="000000"/>
          <w:sz w:val="24"/>
          <w:lang w:bidi="ar"/>
        </w:rPr>
        <w:t>3.</w:t>
      </w:r>
      <w:r>
        <w:rPr>
          <w:rFonts w:ascii="宋体" w:hAnsi="宋体" w:cs="黑体"/>
          <w:b/>
          <w:bCs/>
          <w:color w:val="000000"/>
          <w:sz w:val="24"/>
          <w:lang w:bidi="ar"/>
        </w:rPr>
        <w:t xml:space="preserve">3 </w:t>
      </w:r>
      <w:r>
        <w:rPr>
          <w:rFonts w:hint="eastAsia" w:ascii="宋体" w:hAnsi="宋体" w:cs="黑体"/>
          <w:b/>
          <w:bCs/>
          <w:color w:val="000000"/>
          <w:sz w:val="24"/>
          <w:lang w:bidi="ar"/>
        </w:rPr>
        <w:t>文件的交付</w:t>
      </w:r>
    </w:p>
    <w:p>
      <w:pPr>
        <w:tabs>
          <w:tab w:val="left" w:pos="1260"/>
        </w:tabs>
        <w:spacing w:line="480" w:lineRule="exact"/>
        <w:ind w:firstLine="480"/>
        <w:rPr>
          <w:rFonts w:ascii="宋体" w:hAnsi="宋体" w:cs="黑体"/>
          <w:color w:val="000000"/>
          <w:sz w:val="24"/>
          <w:lang w:bidi="ar"/>
        </w:rPr>
      </w:pPr>
      <w:r>
        <w:rPr>
          <w:rFonts w:hint="eastAsia" w:ascii="宋体" w:hAnsi="宋体" w:cs="黑体"/>
          <w:color w:val="000000"/>
          <w:sz w:val="24"/>
          <w:lang w:bidi="ar"/>
        </w:rPr>
        <w:t>3</w:t>
      </w:r>
      <w:r>
        <w:rPr>
          <w:rFonts w:ascii="宋体" w:hAnsi="宋体" w:cs="黑体"/>
          <w:color w:val="000000"/>
          <w:sz w:val="24"/>
          <w:lang w:bidi="ar"/>
        </w:rPr>
        <w:t>.3.1</w:t>
      </w:r>
      <w:r>
        <w:rPr>
          <w:rFonts w:hint="eastAsia" w:ascii="宋体" w:hAnsi="宋体" w:cs="黑体"/>
          <w:color w:val="000000"/>
          <w:sz w:val="24"/>
          <w:lang w:bidi="ar"/>
        </w:rPr>
        <w:t>甲方编制标的债权证明文件资料清单，并提交清单所列的债权证明文件（原件，或复印件加盖甲方公章），经乙方核对无误以后，在清单上签字、盖章，即视为甲方对资产文件交付完毕，在交接完毕之后，</w:t>
      </w:r>
      <w:r>
        <w:rPr>
          <w:rFonts w:hint="eastAsia" w:ascii="宋体" w:hAnsi="宋体" w:cs="黑体"/>
          <w:b w:val="0"/>
          <w:color w:val="000000"/>
          <w:sz w:val="24"/>
          <w:lang w:bidi="ar"/>
        </w:rPr>
        <w:t>乙方无权就标的债权文件及其交付范围向甲方提出任何主张</w:t>
      </w:r>
      <w:r>
        <w:rPr>
          <w:rFonts w:hint="eastAsia" w:ascii="宋体" w:hAnsi="宋体" w:cs="黑体"/>
          <w:color w:val="000000"/>
          <w:sz w:val="24"/>
          <w:lang w:bidi="ar"/>
        </w:rPr>
        <w:t>。</w:t>
      </w:r>
    </w:p>
    <w:p>
      <w:pPr>
        <w:tabs>
          <w:tab w:val="left" w:pos="1260"/>
        </w:tabs>
        <w:spacing w:line="480" w:lineRule="exact"/>
        <w:ind w:firstLine="480"/>
        <w:rPr>
          <w:rFonts w:ascii="宋体" w:hAnsi="宋体" w:cs="黑体"/>
          <w:color w:val="000000"/>
          <w:sz w:val="24"/>
          <w:lang w:bidi="ar"/>
        </w:rPr>
      </w:pPr>
      <w:r>
        <w:rPr>
          <w:rFonts w:hint="eastAsia" w:ascii="宋体" w:hAnsi="宋体" w:cs="黑体"/>
          <w:color w:val="000000"/>
          <w:sz w:val="24"/>
          <w:lang w:bidi="ar"/>
        </w:rPr>
        <w:t>3</w:t>
      </w:r>
      <w:r>
        <w:rPr>
          <w:rFonts w:ascii="宋体" w:hAnsi="宋体" w:cs="黑体"/>
          <w:color w:val="000000"/>
          <w:sz w:val="24"/>
          <w:lang w:bidi="ar"/>
        </w:rPr>
        <w:t>.3.2</w:t>
      </w:r>
      <w:r>
        <w:rPr>
          <w:rFonts w:hint="eastAsia" w:ascii="宋体" w:hAnsi="宋体" w:cs="黑体"/>
          <w:color w:val="000000"/>
          <w:sz w:val="24"/>
          <w:lang w:bidi="ar"/>
        </w:rPr>
        <w:t>如因前手债权人未及时将前述清单所列的债权证明文件交付甲方，导致甲方无法向乙方交付债权证明文件的，不视为甲方违约。</w:t>
      </w:r>
    </w:p>
    <w:p>
      <w:pPr>
        <w:tabs>
          <w:tab w:val="left" w:pos="1260"/>
        </w:tabs>
        <w:spacing w:line="480" w:lineRule="exact"/>
        <w:ind w:firstLine="480"/>
        <w:rPr>
          <w:rFonts w:ascii="宋体" w:hAnsi="宋体" w:cs="黑体"/>
          <w:color w:val="000000"/>
          <w:sz w:val="24"/>
          <w:lang w:bidi="ar"/>
        </w:rPr>
      </w:pPr>
      <w:r>
        <w:rPr>
          <w:rFonts w:hint="eastAsia" w:ascii="宋体" w:hAnsi="宋体" w:cs="黑体"/>
          <w:color w:val="000000"/>
          <w:sz w:val="24"/>
          <w:lang w:bidi="ar"/>
        </w:rPr>
        <w:t>3</w:t>
      </w:r>
      <w:r>
        <w:rPr>
          <w:rFonts w:ascii="宋体" w:hAnsi="宋体" w:cs="黑体"/>
          <w:color w:val="000000"/>
          <w:sz w:val="24"/>
          <w:lang w:bidi="ar"/>
        </w:rPr>
        <w:t>.3.3</w:t>
      </w:r>
      <w:r>
        <w:rPr>
          <w:rFonts w:hint="eastAsia" w:ascii="宋体" w:hAnsi="宋体" w:cs="黑体"/>
          <w:color w:val="000000"/>
          <w:sz w:val="24"/>
          <w:lang w:bidi="ar"/>
        </w:rPr>
        <w:t>如甲方在资产文件交接以后收到的账单、发票、保险单、信函、文件或其他通信往来文书，甲方在收到之后的七日内转交给乙方。</w:t>
      </w:r>
    </w:p>
    <w:p>
      <w:pPr>
        <w:tabs>
          <w:tab w:val="left" w:pos="1260"/>
        </w:tabs>
        <w:spacing w:line="480" w:lineRule="exact"/>
        <w:ind w:firstLine="480"/>
        <w:rPr>
          <w:rFonts w:ascii="宋体" w:hAnsi="宋体" w:cs="黑体"/>
          <w:color w:val="000000"/>
          <w:sz w:val="24"/>
          <w:lang w:bidi="ar"/>
        </w:rPr>
      </w:pPr>
      <w:r>
        <w:rPr>
          <w:rFonts w:hint="eastAsia" w:ascii="宋体" w:hAnsi="宋体" w:cs="黑体"/>
          <w:color w:val="000000"/>
          <w:sz w:val="24"/>
          <w:lang w:bidi="ar"/>
        </w:rPr>
        <w:t>3</w:t>
      </w:r>
      <w:r>
        <w:rPr>
          <w:rFonts w:ascii="宋体" w:hAnsi="宋体" w:cs="黑体"/>
          <w:color w:val="000000"/>
          <w:sz w:val="24"/>
          <w:lang w:bidi="ar"/>
        </w:rPr>
        <w:t>.3.4</w:t>
      </w:r>
      <w:r>
        <w:rPr>
          <w:rFonts w:hint="eastAsia" w:ascii="宋体" w:hAnsi="宋体" w:cs="黑体"/>
          <w:color w:val="000000"/>
          <w:sz w:val="24"/>
          <w:lang w:bidi="ar"/>
        </w:rPr>
        <w:t>乙方未按甲方通知确定的时间和地点接收不良资产债权文件的，由乙方承担逾期接收之日起不良资产债权文件的损毁、灭失风险。</w:t>
      </w:r>
    </w:p>
    <w:p>
      <w:pPr>
        <w:tabs>
          <w:tab w:val="left" w:pos="1260"/>
        </w:tabs>
        <w:spacing w:line="480" w:lineRule="exact"/>
        <w:ind w:firstLine="480"/>
        <w:rPr>
          <w:rFonts w:ascii="宋体" w:hAnsi="宋体" w:cs="黑体"/>
          <w:b/>
          <w:bCs/>
          <w:color w:val="000000"/>
          <w:sz w:val="24"/>
          <w:lang w:bidi="ar"/>
        </w:rPr>
      </w:pPr>
      <w:r>
        <w:rPr>
          <w:rFonts w:hint="eastAsia" w:ascii="宋体" w:hAnsi="宋体" w:cs="黑体"/>
          <w:b/>
          <w:bCs/>
          <w:color w:val="000000"/>
          <w:sz w:val="24"/>
          <w:lang w:bidi="ar"/>
        </w:rPr>
        <w:t>3.</w:t>
      </w:r>
      <w:r>
        <w:rPr>
          <w:rFonts w:ascii="宋体" w:hAnsi="宋体" w:cs="黑体"/>
          <w:b/>
          <w:bCs/>
          <w:color w:val="000000"/>
          <w:sz w:val="24"/>
          <w:lang w:bidi="ar"/>
        </w:rPr>
        <w:t xml:space="preserve">4 </w:t>
      </w:r>
      <w:r>
        <w:rPr>
          <w:rFonts w:hint="eastAsia" w:ascii="宋体" w:hAnsi="宋体" w:cs="黑体"/>
          <w:b/>
          <w:bCs/>
          <w:color w:val="000000"/>
          <w:sz w:val="24"/>
          <w:lang w:bidi="ar"/>
        </w:rPr>
        <w:t>抵债资产的交付</w:t>
      </w:r>
    </w:p>
    <w:p>
      <w:pPr>
        <w:tabs>
          <w:tab w:val="left" w:pos="1260"/>
        </w:tabs>
        <w:spacing w:line="480" w:lineRule="exact"/>
        <w:ind w:firstLine="480"/>
        <w:rPr>
          <w:rFonts w:ascii="宋体" w:hAnsi="宋体" w:cs="黑体"/>
          <w:bCs/>
          <w:color w:val="000000"/>
          <w:sz w:val="24"/>
          <w:lang w:bidi="ar"/>
        </w:rPr>
      </w:pPr>
      <w:r>
        <w:rPr>
          <w:rFonts w:hint="eastAsia" w:ascii="宋体" w:hAnsi="宋体" w:cs="黑体"/>
          <w:color w:val="000000"/>
          <w:sz w:val="24"/>
          <w:lang w:bidi="ar"/>
        </w:rPr>
        <w:t>3</w:t>
      </w:r>
      <w:r>
        <w:rPr>
          <w:rFonts w:ascii="宋体" w:hAnsi="宋体" w:cs="黑体"/>
          <w:color w:val="000000"/>
          <w:sz w:val="24"/>
          <w:lang w:bidi="ar"/>
        </w:rPr>
        <w:t>.4.1</w:t>
      </w:r>
      <w:r>
        <w:rPr>
          <w:rFonts w:hint="eastAsia" w:ascii="宋体" w:hAnsi="宋体" w:cs="黑体"/>
          <w:color w:val="000000"/>
          <w:sz w:val="24"/>
          <w:lang w:bidi="ar"/>
        </w:rPr>
        <w:t>标的债权项下涉及的抵债资产，自交割日起，甲方就该等抵债资产依法享有的权益转移至乙方。乙方逾期受领抵债资产的，需自行承担相应抵债资产在规定期限后毁损、灭失的风险。</w:t>
      </w:r>
    </w:p>
    <w:p>
      <w:pPr>
        <w:tabs>
          <w:tab w:val="left" w:pos="1260"/>
        </w:tabs>
        <w:spacing w:line="480" w:lineRule="exact"/>
        <w:ind w:firstLine="480"/>
        <w:rPr>
          <w:rFonts w:ascii="宋体" w:hAnsi="宋体" w:cs="黑体"/>
          <w:b/>
          <w:color w:val="000000"/>
          <w:sz w:val="24"/>
          <w:lang w:bidi="ar"/>
        </w:rPr>
      </w:pPr>
      <w:r>
        <w:rPr>
          <w:rFonts w:hint="eastAsia" w:ascii="宋体" w:hAnsi="宋体" w:cs="黑体"/>
          <w:color w:val="000000"/>
          <w:sz w:val="24"/>
          <w:lang w:bidi="ar"/>
        </w:rPr>
        <w:t>3</w:t>
      </w:r>
      <w:r>
        <w:rPr>
          <w:rFonts w:ascii="宋体" w:hAnsi="宋体" w:cs="黑体"/>
          <w:color w:val="000000"/>
          <w:sz w:val="24"/>
          <w:lang w:bidi="ar"/>
        </w:rPr>
        <w:t>.4.2</w:t>
      </w:r>
      <w:r>
        <w:rPr>
          <w:rFonts w:hint="eastAsia" w:ascii="宋体" w:hAnsi="宋体" w:cs="黑体"/>
          <w:color w:val="000000"/>
          <w:sz w:val="24"/>
          <w:lang w:bidi="ar"/>
        </w:rPr>
        <w:t>甲方于交割日后向乙方交付抵债资产的权属文件（如有），甲方实际占有并有效控制抵债资产的，甲方于交割日后向乙方转移占有。</w:t>
      </w:r>
    </w:p>
    <w:p>
      <w:pPr>
        <w:tabs>
          <w:tab w:val="left" w:pos="1260"/>
        </w:tabs>
        <w:spacing w:line="480" w:lineRule="exact"/>
        <w:ind w:firstLine="480"/>
        <w:rPr>
          <w:rFonts w:ascii="宋体" w:hAnsi="宋体" w:cs="黑体"/>
          <w:color w:val="000000"/>
          <w:sz w:val="24"/>
          <w:lang w:bidi="ar"/>
        </w:rPr>
      </w:pPr>
      <w:r>
        <w:rPr>
          <w:rFonts w:hint="eastAsia" w:ascii="宋体" w:hAnsi="宋体" w:cs="黑体"/>
          <w:color w:val="000000"/>
          <w:sz w:val="24"/>
          <w:lang w:bidi="ar"/>
        </w:rPr>
        <w:t>3</w:t>
      </w:r>
      <w:r>
        <w:rPr>
          <w:rFonts w:ascii="宋体" w:hAnsi="宋体" w:cs="黑体"/>
          <w:color w:val="000000"/>
          <w:sz w:val="24"/>
          <w:lang w:bidi="ar"/>
        </w:rPr>
        <w:t>.4.2</w:t>
      </w:r>
      <w:r>
        <w:rPr>
          <w:rFonts w:hint="eastAsia" w:ascii="宋体" w:hAnsi="宋体" w:cs="黑体"/>
          <w:bCs/>
          <w:color w:val="000000"/>
          <w:sz w:val="24"/>
          <w:lang w:bidi="ar"/>
        </w:rPr>
        <w:t>如果甲方在交接时没有实际占有并有效控制抵债资产，或抵债资产无法办理权属变更手续的，甲方向乙方交付与抵债资产相关的文件、证书等（如有），即视为甲方向乙方履行了抵债资产的交付义务。</w:t>
      </w:r>
    </w:p>
    <w:p>
      <w:pPr>
        <w:tabs>
          <w:tab w:val="left" w:pos="1260"/>
        </w:tabs>
        <w:spacing w:line="480" w:lineRule="exact"/>
        <w:ind w:firstLine="480"/>
        <w:rPr>
          <w:rFonts w:ascii="宋体" w:hAnsi="宋体" w:cs="黑体"/>
          <w:color w:val="000000"/>
          <w:sz w:val="24"/>
          <w:lang w:bidi="ar"/>
        </w:rPr>
      </w:pPr>
      <w:r>
        <w:rPr>
          <w:rFonts w:ascii="宋体" w:hAnsi="宋体" w:cs="黑体"/>
          <w:color w:val="000000"/>
          <w:sz w:val="24"/>
          <w:lang w:bidi="ar"/>
        </w:rPr>
        <w:t>3.4.3</w:t>
      </w:r>
      <w:r>
        <w:rPr>
          <w:rFonts w:hint="eastAsia" w:ascii="宋体" w:hAnsi="宋体" w:cs="黑体"/>
          <w:b w:val="0"/>
          <w:bCs/>
          <w:color w:val="000000"/>
          <w:sz w:val="24"/>
          <w:lang w:bidi="ar"/>
        </w:rPr>
        <w:t>如果抵债资产需要并能够办理权属变更手续的，由乙方自行办理，</w:t>
      </w:r>
      <w:r>
        <w:rPr>
          <w:rFonts w:hint="eastAsia" w:ascii="宋体" w:hAnsi="宋体" w:cs="黑体"/>
          <w:color w:val="000000"/>
          <w:sz w:val="24"/>
          <w:lang w:bidi="ar"/>
        </w:rPr>
        <w:t>应乙方之合理要求，甲方给予必要的配合，因办理权属变更登记所发生的税收和行政性收费（含可能需缴纳的土地出让金、罚款等）由乙方承担。</w:t>
      </w:r>
      <w:r>
        <w:rPr>
          <w:rFonts w:hint="eastAsia" w:ascii="宋体" w:hAnsi="宋体" w:cs="黑体"/>
          <w:b w:val="0"/>
          <w:bCs/>
          <w:color w:val="000000"/>
          <w:sz w:val="24"/>
          <w:lang w:bidi="ar"/>
        </w:rPr>
        <w:t>无论任何原因导致无法办理权属变更登记的风险全部由乙方承担。</w:t>
      </w:r>
    </w:p>
    <w:p>
      <w:pPr>
        <w:tabs>
          <w:tab w:val="left" w:pos="1260"/>
        </w:tabs>
        <w:spacing w:line="480" w:lineRule="exact"/>
        <w:ind w:firstLine="480"/>
        <w:rPr>
          <w:rFonts w:ascii="宋体" w:hAnsi="宋体" w:cs="黑体"/>
          <w:color w:val="000000"/>
          <w:sz w:val="24"/>
          <w:lang w:bidi="ar"/>
        </w:rPr>
      </w:pPr>
      <w:r>
        <w:rPr>
          <w:rFonts w:hint="eastAsia" w:ascii="宋体" w:hAnsi="宋体" w:cs="黑体"/>
          <w:color w:val="000000"/>
          <w:sz w:val="24"/>
          <w:lang w:bidi="ar"/>
        </w:rPr>
        <w:t>3</w:t>
      </w:r>
      <w:r>
        <w:rPr>
          <w:rFonts w:ascii="宋体" w:hAnsi="宋体" w:cs="黑体"/>
          <w:color w:val="000000"/>
          <w:sz w:val="24"/>
          <w:lang w:bidi="ar"/>
        </w:rPr>
        <w:t>.4.4</w:t>
      </w:r>
      <w:r>
        <w:rPr>
          <w:rFonts w:hint="eastAsia" w:ascii="宋体" w:hAnsi="宋体" w:cs="黑体"/>
          <w:color w:val="000000"/>
          <w:sz w:val="24"/>
          <w:lang w:bidi="ar"/>
        </w:rPr>
        <w:t>虽有前述约定，乙方在此进一步确认，鉴于抵债资产存在或可能存在权属证书缺失、第三人享有优先权、不为甲方实际控制、欠缴土地出让金或其他税费等情形，乙方特此承诺，任何情况下，自基准日起，其将独立承担对该等抵债资产实施占有、控制、处分或办理过户登记时可能出现的风险和责任，放弃就抵债资产提出任何异议或瑕疵的权利（无论基于何种理由），并自主负担抵债资产项下存在或可能存在的任何应付未付的税费（包括但不限于划拨土地使用权转移时应缴纳的土地出让金等），乙方承诺不因抵债资产过户不能或不能实际占有而向甲方主张回购该项债权或要求甲方承担赔偿责任。</w:t>
      </w:r>
    </w:p>
    <w:p>
      <w:pPr>
        <w:tabs>
          <w:tab w:val="left" w:pos="1260"/>
        </w:tabs>
        <w:spacing w:line="480" w:lineRule="exact"/>
        <w:ind w:firstLine="480"/>
        <w:rPr>
          <w:rFonts w:ascii="宋体" w:hAnsi="宋体" w:cs="黑体"/>
          <w:b/>
          <w:bCs/>
          <w:color w:val="000000"/>
          <w:sz w:val="24"/>
          <w:lang w:bidi="ar"/>
        </w:rPr>
      </w:pPr>
      <w:r>
        <w:rPr>
          <w:rFonts w:hint="eastAsia" w:ascii="宋体" w:hAnsi="宋体" w:cs="黑体"/>
          <w:b/>
          <w:bCs/>
          <w:color w:val="000000"/>
          <w:sz w:val="24"/>
          <w:lang w:bidi="ar"/>
        </w:rPr>
        <w:t>3</w:t>
      </w:r>
      <w:r>
        <w:rPr>
          <w:rFonts w:ascii="宋体" w:hAnsi="宋体" w:cs="黑体"/>
          <w:b/>
          <w:bCs/>
          <w:color w:val="000000"/>
          <w:sz w:val="24"/>
          <w:lang w:bidi="ar"/>
        </w:rPr>
        <w:t>.5</w:t>
      </w:r>
      <w:r>
        <w:rPr>
          <w:rFonts w:hint="eastAsia" w:ascii="宋体" w:hAnsi="宋体" w:cs="黑体"/>
          <w:b/>
          <w:bCs/>
          <w:color w:val="000000"/>
          <w:sz w:val="24"/>
          <w:lang w:bidi="ar"/>
        </w:rPr>
        <w:t>服务协议项下权利义务的转移</w:t>
      </w:r>
    </w:p>
    <w:p>
      <w:pPr>
        <w:tabs>
          <w:tab w:val="left" w:pos="1260"/>
        </w:tabs>
        <w:spacing w:line="480" w:lineRule="exact"/>
        <w:ind w:firstLine="480"/>
        <w:rPr>
          <w:rFonts w:ascii="宋体" w:hAnsi="宋体" w:cs="黑体"/>
          <w:b/>
          <w:bCs/>
          <w:color w:val="000000"/>
          <w:sz w:val="24"/>
          <w:lang w:bidi="ar"/>
        </w:rPr>
      </w:pPr>
      <w:r>
        <w:rPr>
          <w:rFonts w:ascii="宋体" w:hAnsi="宋体" w:cs="黑体"/>
          <w:b w:val="0"/>
          <w:bCs w:val="0"/>
          <w:color w:val="000000"/>
          <w:sz w:val="24"/>
          <w:lang w:bidi="ar"/>
        </w:rPr>
        <w:t>3.5.1</w:t>
      </w:r>
      <w:r>
        <w:rPr>
          <w:rFonts w:hint="eastAsia" w:ascii="宋体" w:hAnsi="宋体" w:cs="黑体"/>
          <w:b w:val="0"/>
          <w:bCs w:val="0"/>
          <w:color w:val="000000"/>
          <w:sz w:val="24"/>
          <w:lang w:bidi="ar"/>
        </w:rPr>
        <w:t>乙方同意无条件承继甲方及其前手在基准日之前为管理、保全或处置标的债权而与任何中介机构签署的服务</w:t>
      </w:r>
      <w:r>
        <w:rPr>
          <w:rFonts w:hint="eastAsia" w:ascii="宋体" w:hAnsi="宋体" w:cs="黑体"/>
          <w:color w:val="000000"/>
          <w:sz w:val="24"/>
          <w:lang w:bidi="ar"/>
        </w:rPr>
        <w:t>协议</w:t>
      </w:r>
      <w:r>
        <w:rPr>
          <w:rFonts w:hint="eastAsia" w:ascii="宋体" w:hAnsi="宋体" w:cs="黑体"/>
          <w:b w:val="0"/>
          <w:bCs w:val="0"/>
          <w:color w:val="000000"/>
          <w:sz w:val="24"/>
          <w:lang w:bidi="ar"/>
        </w:rPr>
        <w:t>并受该等合同条款的约束</w:t>
      </w:r>
      <w:r>
        <w:rPr>
          <w:rFonts w:hint="eastAsia" w:ascii="宋体" w:hAnsi="宋体" w:cs="黑体"/>
          <w:color w:val="000000"/>
          <w:sz w:val="24"/>
          <w:lang w:bidi="ar"/>
        </w:rPr>
        <w:t>，基准日之前实际产生的中介机构服务费用由甲方承担，基准日之后产生的中介机构服务费用由乙方承担</w:t>
      </w:r>
      <w:r>
        <w:rPr>
          <w:rFonts w:hint="eastAsia" w:ascii="宋体" w:hAnsi="宋体" w:cs="黑体"/>
          <w:b w:val="0"/>
          <w:bCs w:val="0"/>
          <w:color w:val="000000"/>
          <w:sz w:val="24"/>
          <w:lang w:bidi="ar"/>
        </w:rPr>
        <w:t>。乙方自行负责该等服务</w:t>
      </w:r>
      <w:r>
        <w:rPr>
          <w:rFonts w:hint="eastAsia" w:ascii="宋体" w:hAnsi="宋体" w:cs="黑体"/>
          <w:color w:val="000000"/>
          <w:sz w:val="24"/>
          <w:lang w:bidi="ar"/>
        </w:rPr>
        <w:t>协议</w:t>
      </w:r>
      <w:r>
        <w:rPr>
          <w:rFonts w:hint="eastAsia" w:ascii="宋体" w:hAnsi="宋体" w:cs="黑体"/>
          <w:b w:val="0"/>
          <w:bCs w:val="0"/>
          <w:color w:val="000000"/>
          <w:sz w:val="24"/>
          <w:lang w:bidi="ar"/>
        </w:rPr>
        <w:t>的协商解约、终止事宜，并承担与该等服务</w:t>
      </w:r>
      <w:r>
        <w:rPr>
          <w:rFonts w:hint="eastAsia" w:ascii="宋体" w:hAnsi="宋体" w:cs="黑体"/>
          <w:color w:val="000000"/>
          <w:sz w:val="24"/>
          <w:lang w:bidi="ar"/>
        </w:rPr>
        <w:t>协议</w:t>
      </w:r>
      <w:r>
        <w:rPr>
          <w:rFonts w:hint="eastAsia" w:ascii="宋体" w:hAnsi="宋体" w:cs="黑体"/>
          <w:b w:val="0"/>
          <w:bCs w:val="0"/>
          <w:color w:val="000000"/>
          <w:sz w:val="24"/>
          <w:lang w:bidi="ar"/>
        </w:rPr>
        <w:t>相关的风险与责任；如需要甲方继续承担</w:t>
      </w:r>
      <w:r>
        <w:rPr>
          <w:rFonts w:hint="eastAsia" w:ascii="宋体" w:hAnsi="宋体" w:cs="黑体"/>
          <w:color w:val="000000"/>
          <w:sz w:val="24"/>
          <w:lang w:bidi="ar"/>
        </w:rPr>
        <w:t>基准日之后的</w:t>
      </w:r>
      <w:r>
        <w:rPr>
          <w:rFonts w:hint="eastAsia" w:ascii="宋体" w:hAnsi="宋体" w:cs="黑体"/>
          <w:b w:val="0"/>
          <w:bCs w:val="0"/>
          <w:color w:val="000000"/>
          <w:sz w:val="24"/>
          <w:lang w:bidi="ar"/>
        </w:rPr>
        <w:t>全额或部分的支付责任，或甲方被索赔，乙方应对甲方实际支付的款项给予全额补偿。</w:t>
      </w:r>
    </w:p>
    <w:p>
      <w:pPr>
        <w:numPr>
          <w:ilvl w:val="0"/>
          <w:numId w:val="0"/>
        </w:numPr>
        <w:tabs>
          <w:tab w:val="left" w:pos="1260"/>
        </w:tabs>
        <w:spacing w:line="480" w:lineRule="exact"/>
        <w:ind w:left="0" w:firstLine="480"/>
        <w:rPr>
          <w:rFonts w:ascii="宋体" w:hAnsi="宋体" w:cs="黑体"/>
          <w:b/>
          <w:bCs/>
          <w:color w:val="000000"/>
          <w:sz w:val="24"/>
          <w:lang w:bidi="ar"/>
        </w:rPr>
      </w:pPr>
      <w:r>
        <w:rPr>
          <w:rFonts w:hint="eastAsia" w:ascii="宋体" w:hAnsi="宋体" w:cs="黑体"/>
          <w:color w:val="000000"/>
          <w:sz w:val="24"/>
          <w:lang w:bidi="ar"/>
        </w:rPr>
        <w:t>3</w:t>
      </w:r>
      <w:r>
        <w:rPr>
          <w:rFonts w:ascii="宋体" w:hAnsi="宋体" w:cs="黑体"/>
          <w:color w:val="000000"/>
          <w:sz w:val="24"/>
          <w:lang w:bidi="ar"/>
        </w:rPr>
        <w:t>.5.2</w:t>
      </w:r>
      <w:r>
        <w:rPr>
          <w:rFonts w:hint="eastAsia" w:ascii="宋体" w:hAnsi="宋体" w:cs="黑体"/>
          <w:b w:val="0"/>
          <w:bCs w:val="0"/>
          <w:color w:val="000000"/>
          <w:sz w:val="24"/>
          <w:lang w:bidi="ar"/>
        </w:rPr>
        <w:t>乙方承诺，如果中介机构不同意甲方将其在相应</w:t>
      </w:r>
      <w:r>
        <w:rPr>
          <w:rFonts w:hint="eastAsia" w:ascii="宋体" w:hAnsi="宋体" w:cs="黑体"/>
          <w:color w:val="000000"/>
          <w:sz w:val="24"/>
          <w:lang w:bidi="ar"/>
        </w:rPr>
        <w:t>服务协议</w:t>
      </w:r>
      <w:r>
        <w:rPr>
          <w:rFonts w:hint="eastAsia" w:ascii="宋体" w:hAnsi="宋体" w:cs="黑体"/>
          <w:b w:val="0"/>
          <w:bCs w:val="0"/>
          <w:color w:val="000000"/>
          <w:sz w:val="24"/>
          <w:lang w:bidi="ar"/>
        </w:rPr>
        <w:t>中的权利义务转让给乙方，则乙方保证不聘用该中介机构</w:t>
      </w:r>
      <w:r>
        <w:rPr>
          <w:rFonts w:hint="eastAsia" w:ascii="宋体" w:hAnsi="宋体" w:cs="黑体"/>
          <w:color w:val="000000"/>
          <w:sz w:val="24"/>
          <w:lang w:bidi="ar"/>
        </w:rPr>
        <w:t>或利用甲方的名义指令该中介机构</w:t>
      </w:r>
      <w:r>
        <w:rPr>
          <w:rFonts w:hint="eastAsia" w:ascii="宋体" w:hAnsi="宋体" w:cs="黑体"/>
          <w:b w:val="0"/>
          <w:bCs w:val="0"/>
          <w:color w:val="000000"/>
          <w:sz w:val="24"/>
          <w:lang w:bidi="ar"/>
        </w:rPr>
        <w:t>处理与标的债权相关的任何事宜。</w:t>
      </w:r>
    </w:p>
    <w:p>
      <w:pPr>
        <w:tabs>
          <w:tab w:val="left" w:pos="1260"/>
        </w:tabs>
        <w:spacing w:line="480" w:lineRule="exact"/>
        <w:ind w:firstLine="480"/>
        <w:rPr>
          <w:rFonts w:ascii="宋体" w:hAnsi="宋体" w:cs="黑体"/>
          <w:b/>
          <w:bCs/>
          <w:color w:val="000000"/>
          <w:sz w:val="24"/>
          <w:lang w:bidi="ar"/>
        </w:rPr>
      </w:pPr>
      <w:r>
        <w:rPr>
          <w:rFonts w:ascii="宋体" w:hAnsi="宋体" w:cs="黑体"/>
          <w:b/>
          <w:bCs/>
          <w:color w:val="000000"/>
          <w:sz w:val="24"/>
          <w:lang w:bidi="ar"/>
        </w:rPr>
        <w:t>3.6</w:t>
      </w:r>
      <w:r>
        <w:rPr>
          <w:rFonts w:hint="eastAsia" w:ascii="宋体" w:hAnsi="宋体" w:cs="黑体"/>
          <w:b/>
          <w:bCs/>
          <w:color w:val="000000"/>
          <w:sz w:val="24"/>
          <w:lang w:bidi="ar"/>
        </w:rPr>
        <w:t>债权转让通知</w:t>
      </w:r>
    </w:p>
    <w:p>
      <w:pPr>
        <w:tabs>
          <w:tab w:val="left" w:pos="1260"/>
        </w:tabs>
        <w:spacing w:line="480" w:lineRule="exact"/>
        <w:ind w:firstLine="480"/>
        <w:rPr>
          <w:rFonts w:ascii="宋体" w:hAnsi="宋体" w:cs="黑体"/>
          <w:color w:val="000000"/>
          <w:sz w:val="24"/>
          <w:lang w:bidi="ar"/>
        </w:rPr>
      </w:pPr>
      <w:r>
        <w:rPr>
          <w:rFonts w:hint="eastAsia" w:ascii="宋体" w:hAnsi="宋体" w:cs="黑体"/>
          <w:b/>
          <w:bCs/>
          <w:color w:val="000000"/>
          <w:sz w:val="24"/>
          <w:lang w:bidi="ar"/>
        </w:rPr>
        <w:t>3.</w:t>
      </w:r>
      <w:r>
        <w:rPr>
          <w:rFonts w:ascii="宋体" w:hAnsi="宋体" w:cs="黑体"/>
          <w:b/>
          <w:bCs/>
          <w:color w:val="000000"/>
          <w:sz w:val="24"/>
          <w:lang w:bidi="ar"/>
        </w:rPr>
        <w:t>6</w:t>
      </w:r>
      <w:r>
        <w:rPr>
          <w:rFonts w:hint="eastAsia" w:ascii="宋体" w:hAnsi="宋体" w:cs="黑体"/>
          <w:b/>
          <w:bCs/>
          <w:color w:val="000000"/>
          <w:sz w:val="24"/>
          <w:lang w:bidi="ar"/>
        </w:rPr>
        <w:t xml:space="preserve">.1 </w:t>
      </w:r>
      <w:r>
        <w:rPr>
          <w:rFonts w:hint="eastAsia" w:ascii="宋体" w:hAnsi="宋体" w:cs="黑体"/>
          <w:color w:val="000000"/>
          <w:sz w:val="24"/>
          <w:lang w:bidi="ar"/>
        </w:rPr>
        <w:t>甲乙双方应在标的债权全部交割后，采取公告通知的方式发布标的债权转让公告，将标的债权转让给乙方的事实通知债务人、担保人，通知费用由乙方承担，乙方认可完成前述公告通知后，即视为甲方完成了相应通知义务。</w:t>
      </w:r>
    </w:p>
    <w:p>
      <w:pPr>
        <w:tabs>
          <w:tab w:val="left" w:pos="1260"/>
        </w:tabs>
        <w:spacing w:line="480" w:lineRule="exact"/>
        <w:ind w:firstLine="480"/>
        <w:rPr>
          <w:rFonts w:ascii="宋体" w:hAnsi="宋体" w:cs="黑体"/>
          <w:color w:val="000000"/>
          <w:sz w:val="24"/>
          <w:lang w:bidi="ar"/>
        </w:rPr>
      </w:pPr>
      <w:r>
        <w:rPr>
          <w:rFonts w:hint="eastAsia" w:ascii="宋体" w:hAnsi="宋体" w:cs="黑体"/>
          <w:color w:val="000000"/>
          <w:sz w:val="24"/>
          <w:lang w:bidi="ar"/>
        </w:rPr>
        <w:t>在标的债权全部交割后甲方按乙方要求通知债务人、担保人债权转让事实，乙方承担此操作安排的全部责任及后果，甲方不承担任何责任，相关通知费用由乙方承担。</w:t>
      </w:r>
    </w:p>
    <w:p>
      <w:pPr>
        <w:tabs>
          <w:tab w:val="left" w:pos="1260"/>
        </w:tabs>
        <w:spacing w:line="480" w:lineRule="exact"/>
        <w:ind w:firstLine="480"/>
        <w:rPr>
          <w:rFonts w:ascii="宋体" w:hAnsi="宋体" w:cs="黑体"/>
          <w:color w:val="000000"/>
          <w:sz w:val="24"/>
          <w:lang w:bidi="ar"/>
        </w:rPr>
      </w:pPr>
      <w:r>
        <w:rPr>
          <w:rFonts w:hint="eastAsia" w:ascii="宋体" w:hAnsi="宋体" w:cs="黑体"/>
          <w:b/>
          <w:bCs/>
          <w:color w:val="000000"/>
          <w:sz w:val="24"/>
          <w:lang w:bidi="ar"/>
        </w:rPr>
        <w:t>3.</w:t>
      </w:r>
      <w:r>
        <w:rPr>
          <w:rFonts w:ascii="宋体" w:hAnsi="宋体" w:cs="黑体"/>
          <w:b/>
          <w:bCs/>
          <w:color w:val="000000"/>
          <w:sz w:val="24"/>
          <w:lang w:bidi="ar"/>
        </w:rPr>
        <w:t>6</w:t>
      </w:r>
      <w:r>
        <w:rPr>
          <w:rFonts w:hint="eastAsia" w:ascii="宋体" w:hAnsi="宋体" w:cs="黑体"/>
          <w:b/>
          <w:bCs/>
          <w:color w:val="000000"/>
          <w:sz w:val="24"/>
          <w:lang w:bidi="ar"/>
        </w:rPr>
        <w:t>.2</w:t>
      </w:r>
      <w:r>
        <w:rPr>
          <w:rFonts w:hint="eastAsia" w:ascii="宋体" w:hAnsi="宋体" w:cs="黑体"/>
          <w:color w:val="000000"/>
          <w:sz w:val="24"/>
          <w:lang w:bidi="ar"/>
        </w:rPr>
        <w:t xml:space="preserve"> 如受案法院或债务人否认甲方通知债务人、担保人标的债权转让事宜效力的，甲方可在乙方的要求下，采取书面或法院认可的其他方式将标的债权转让事项通知债务人、担保人，但因此而产生的费用由乙方负担，且甲方不保证该等通知的效力可以使法院或债务人确认。</w:t>
      </w:r>
    </w:p>
    <w:p>
      <w:pPr>
        <w:tabs>
          <w:tab w:val="left" w:pos="1260"/>
        </w:tabs>
        <w:spacing w:line="480" w:lineRule="exact"/>
        <w:ind w:firstLine="480"/>
        <w:rPr>
          <w:rFonts w:ascii="宋体" w:hAnsi="宋体" w:cs="黑体"/>
          <w:color w:val="000000"/>
          <w:sz w:val="24"/>
          <w:lang w:bidi="ar"/>
        </w:rPr>
      </w:pPr>
      <w:r>
        <w:rPr>
          <w:rFonts w:hint="eastAsia" w:ascii="宋体" w:hAnsi="宋体" w:cs="黑体"/>
          <w:b/>
          <w:bCs/>
          <w:color w:val="000000"/>
          <w:sz w:val="24"/>
          <w:lang w:bidi="ar"/>
        </w:rPr>
        <w:t>3.</w:t>
      </w:r>
      <w:r>
        <w:rPr>
          <w:rFonts w:ascii="宋体" w:hAnsi="宋体" w:cs="黑体"/>
          <w:b/>
          <w:bCs/>
          <w:color w:val="000000"/>
          <w:sz w:val="24"/>
          <w:lang w:bidi="ar"/>
        </w:rPr>
        <w:t>6</w:t>
      </w:r>
      <w:r>
        <w:rPr>
          <w:rFonts w:hint="eastAsia" w:ascii="宋体" w:hAnsi="宋体" w:cs="黑体"/>
          <w:b/>
          <w:bCs/>
          <w:color w:val="000000"/>
          <w:sz w:val="24"/>
          <w:lang w:bidi="ar"/>
        </w:rPr>
        <w:t>.3</w:t>
      </w:r>
      <w:r>
        <w:rPr>
          <w:rFonts w:hint="eastAsia" w:ascii="宋体" w:hAnsi="宋体" w:cs="黑体"/>
          <w:color w:val="000000"/>
          <w:sz w:val="24"/>
          <w:lang w:bidi="ar"/>
        </w:rPr>
        <w:t xml:space="preserve"> 乙方进一步确认，甲方的通知义务只限于进行上述适当的通知行为，无论债务人、担保人对标的债权转让的通知是否签收和确认，不影响甲、乙双方之间就标的债权进行转让的效力，也不导致甲方的进一步义务或违约责任。</w:t>
      </w:r>
    </w:p>
    <w:p>
      <w:pPr>
        <w:numPr>
          <w:ilvl w:val="0"/>
          <w:numId w:val="0"/>
        </w:numPr>
        <w:tabs>
          <w:tab w:val="left" w:pos="1260"/>
        </w:tabs>
        <w:spacing w:line="480" w:lineRule="exact"/>
        <w:ind w:left="0" w:firstLine="480" w:firstLineChars="200"/>
        <w:rPr>
          <w:rFonts w:ascii="宋体" w:hAnsi="宋体" w:cs="黑体"/>
          <w:b/>
          <w:bCs/>
          <w:color w:val="000000"/>
          <w:sz w:val="24"/>
          <w:lang w:bidi="ar"/>
        </w:rPr>
      </w:pPr>
      <w:r>
        <w:rPr>
          <w:rFonts w:hint="eastAsia" w:ascii="宋体" w:hAnsi="宋体" w:cs="黑体"/>
          <w:b/>
          <w:bCs/>
          <w:color w:val="000000"/>
          <w:sz w:val="24"/>
          <w:lang w:bidi="ar"/>
        </w:rPr>
        <w:t>3</w:t>
      </w:r>
      <w:r>
        <w:rPr>
          <w:rFonts w:ascii="宋体" w:hAnsi="宋体" w:cs="黑体"/>
          <w:b/>
          <w:bCs/>
          <w:color w:val="000000"/>
          <w:sz w:val="24"/>
          <w:lang w:bidi="ar"/>
        </w:rPr>
        <w:t xml:space="preserve">.6.4 </w:t>
      </w:r>
      <w:r>
        <w:rPr>
          <w:rFonts w:hint="eastAsia" w:ascii="宋体" w:hAnsi="宋体" w:cs="黑体"/>
          <w:b w:val="0"/>
          <w:bCs w:val="0"/>
          <w:color w:val="000000"/>
          <w:sz w:val="24"/>
          <w:lang w:bidi="ar"/>
        </w:rPr>
        <w:t>乙方应当及时留存债权通知过程中形成的通知证据原件，包括但不限于</w:t>
      </w:r>
      <w:r>
        <w:rPr>
          <w:rFonts w:hint="eastAsia" w:ascii="宋体" w:hAnsi="宋体" w:cs="黑体"/>
          <w:color w:val="000000"/>
          <w:sz w:val="24"/>
          <w:lang w:bidi="ar"/>
        </w:rPr>
        <w:t>公告文件、</w:t>
      </w:r>
      <w:r>
        <w:rPr>
          <w:rFonts w:hint="eastAsia" w:ascii="宋体" w:hAnsi="宋体" w:cs="黑体"/>
          <w:b w:val="0"/>
          <w:bCs w:val="0"/>
          <w:color w:val="000000"/>
          <w:sz w:val="24"/>
          <w:lang w:bidi="ar"/>
        </w:rPr>
        <w:t>催收通知、送达回执、邮寄回单、来往数据电文等材料。因未及时送达</w:t>
      </w:r>
      <w:r>
        <w:rPr>
          <w:rFonts w:hint="eastAsia" w:ascii="宋体" w:hAnsi="宋体" w:cs="黑体"/>
          <w:color w:val="000000"/>
          <w:sz w:val="24"/>
          <w:lang w:bidi="ar"/>
        </w:rPr>
        <w:t>以及缺失通知证据原件</w:t>
      </w:r>
      <w:r>
        <w:rPr>
          <w:rFonts w:hint="eastAsia" w:ascii="宋体" w:hAnsi="宋体" w:cs="黑体"/>
          <w:b w:val="0"/>
          <w:bCs w:val="0"/>
          <w:color w:val="000000"/>
          <w:sz w:val="24"/>
          <w:lang w:bidi="ar"/>
        </w:rPr>
        <w:t>产生的债权及担保权利的风险（包括但不限于灭失、无效、超过诉讼时效、因未通知而债权转让对债务人不生效等），均由乙方承担。</w:t>
      </w:r>
    </w:p>
    <w:p>
      <w:pPr>
        <w:tabs>
          <w:tab w:val="left" w:pos="1260"/>
        </w:tabs>
        <w:spacing w:line="480" w:lineRule="exact"/>
        <w:ind w:firstLine="480"/>
        <w:rPr>
          <w:rFonts w:ascii="宋体" w:hAnsi="宋体" w:cs="黑体"/>
          <w:color w:val="000000"/>
          <w:sz w:val="24"/>
          <w:lang w:bidi="ar"/>
        </w:rPr>
      </w:pPr>
      <w:r>
        <w:rPr>
          <w:rFonts w:hint="eastAsia" w:ascii="宋体" w:hAnsi="宋体" w:cs="黑体"/>
          <w:b/>
          <w:bCs/>
          <w:color w:val="000000"/>
          <w:sz w:val="24"/>
          <w:lang w:bidi="ar"/>
        </w:rPr>
        <w:t>3.</w:t>
      </w:r>
      <w:r>
        <w:rPr>
          <w:rFonts w:ascii="宋体" w:hAnsi="宋体" w:cs="黑体"/>
          <w:b/>
          <w:bCs/>
          <w:color w:val="000000"/>
          <w:sz w:val="24"/>
          <w:lang w:bidi="ar"/>
        </w:rPr>
        <w:t xml:space="preserve">7 </w:t>
      </w:r>
      <w:r>
        <w:rPr>
          <w:rFonts w:hint="eastAsia" w:ascii="宋体" w:hAnsi="宋体" w:cs="黑体"/>
          <w:b/>
          <w:bCs/>
          <w:color w:val="000000"/>
          <w:sz w:val="24"/>
          <w:lang w:bidi="ar"/>
        </w:rPr>
        <w:t>诉讼主体变更手续</w:t>
      </w:r>
    </w:p>
    <w:p>
      <w:pPr>
        <w:tabs>
          <w:tab w:val="left" w:pos="1260"/>
        </w:tabs>
        <w:spacing w:line="480" w:lineRule="exact"/>
        <w:ind w:firstLine="480" w:firstLineChars="200"/>
        <w:rPr>
          <w:rFonts w:ascii="宋体" w:hAnsi="宋体" w:cs="黑体"/>
          <w:color w:val="000000"/>
          <w:sz w:val="24"/>
          <w:lang w:bidi="ar"/>
        </w:rPr>
      </w:pPr>
      <w:r>
        <w:rPr>
          <w:rFonts w:hint="eastAsia" w:ascii="宋体" w:hAnsi="宋体" w:cs="黑体"/>
          <w:color w:val="000000"/>
          <w:sz w:val="24"/>
          <w:lang w:bidi="ar"/>
        </w:rPr>
        <w:t>交割日后，甲方将根据相关规定，出具必要的债权转移证明文件，配合和协助乙方办理已转让的标的债权所涉及的诉讼（含执行）主体变更手续，但甲方不对是否能够实现变更承担任何责任，乙方亦不得因为不能变更诉讼（含执行）主体而向甲方主张回购该项债权或要求甲方承担赔偿责任。</w:t>
      </w:r>
      <w:r>
        <w:rPr>
          <w:rFonts w:hint="eastAsia" w:ascii="宋体" w:hAnsi="宋体" w:cs="黑体"/>
          <w:b w:val="0"/>
          <w:bCs w:val="0"/>
          <w:color w:val="000000"/>
          <w:sz w:val="24"/>
          <w:lang w:bidi="ar"/>
        </w:rPr>
        <w:t>同时，</w:t>
      </w:r>
      <w:r>
        <w:rPr>
          <w:rFonts w:hint="eastAsia" w:ascii="宋体" w:hAnsi="宋体" w:cs="黑体"/>
          <w:color w:val="000000"/>
          <w:sz w:val="24"/>
          <w:lang w:bidi="ar"/>
        </w:rPr>
        <w:t>甲方在任何时间均无须为履行本条所述协助义务承担任何费用。</w:t>
      </w:r>
    </w:p>
    <w:p>
      <w:pPr>
        <w:numPr>
          <w:ilvl w:val="0"/>
          <w:numId w:val="2"/>
        </w:numPr>
        <w:spacing w:line="480" w:lineRule="exact"/>
        <w:ind w:left="0" w:firstLine="480"/>
        <w:outlineLvl w:val="0"/>
        <w:rPr>
          <w:rFonts w:ascii="宋体" w:hAnsi="宋体" w:cs="宋体"/>
          <w:b/>
          <w:color w:val="000000"/>
          <w:sz w:val="24"/>
        </w:rPr>
      </w:pPr>
      <w:bookmarkStart w:id="142" w:name="_Toc225794571"/>
      <w:bookmarkEnd w:id="142"/>
      <w:bookmarkStart w:id="143" w:name="_Toc177291788"/>
      <w:bookmarkEnd w:id="143"/>
      <w:bookmarkStart w:id="144" w:name="_Toc260836006"/>
      <w:bookmarkEnd w:id="144"/>
      <w:bookmarkStart w:id="145" w:name="_Toc264963060"/>
      <w:bookmarkEnd w:id="145"/>
      <w:bookmarkStart w:id="146" w:name="_Toc225794570"/>
      <w:bookmarkEnd w:id="146"/>
      <w:bookmarkStart w:id="147" w:name="_Toc260836004"/>
      <w:bookmarkEnd w:id="147"/>
      <w:bookmarkStart w:id="148" w:name="_Toc225794567"/>
      <w:bookmarkEnd w:id="148"/>
      <w:bookmarkStart w:id="149" w:name="_Toc176110077"/>
      <w:bookmarkEnd w:id="149"/>
      <w:bookmarkStart w:id="150" w:name="_Toc176110078"/>
      <w:bookmarkEnd w:id="150"/>
      <w:bookmarkStart w:id="151" w:name="_Toc260836000"/>
      <w:bookmarkEnd w:id="151"/>
      <w:bookmarkStart w:id="152" w:name="_Toc177287085"/>
      <w:bookmarkEnd w:id="152"/>
      <w:bookmarkStart w:id="153" w:name="_Toc177291787"/>
      <w:bookmarkEnd w:id="153"/>
      <w:bookmarkStart w:id="154" w:name="_Toc177287084"/>
      <w:bookmarkEnd w:id="154"/>
      <w:bookmarkStart w:id="155" w:name="_Toc225794572"/>
      <w:bookmarkEnd w:id="155"/>
      <w:bookmarkStart w:id="156" w:name="_Toc367204314"/>
      <w:bookmarkEnd w:id="156"/>
      <w:bookmarkStart w:id="157" w:name="_Toc262819208"/>
      <w:bookmarkEnd w:id="157"/>
      <w:bookmarkStart w:id="158" w:name="_Toc262819210"/>
      <w:bookmarkEnd w:id="158"/>
      <w:bookmarkStart w:id="159" w:name="_Toc225794568"/>
      <w:bookmarkEnd w:id="159"/>
      <w:bookmarkStart w:id="160" w:name="_Toc177287132"/>
      <w:bookmarkEnd w:id="160"/>
      <w:bookmarkStart w:id="161" w:name="_Toc260836005"/>
      <w:bookmarkEnd w:id="161"/>
      <w:bookmarkStart w:id="162" w:name="_Toc264963061"/>
      <w:bookmarkEnd w:id="162"/>
      <w:bookmarkStart w:id="163" w:name="_Toc355708279"/>
      <w:bookmarkEnd w:id="163"/>
      <w:bookmarkStart w:id="164" w:name="_Toc177287131"/>
      <w:bookmarkEnd w:id="164"/>
      <w:bookmarkStart w:id="165" w:name="_Toc260836002"/>
      <w:bookmarkEnd w:id="165"/>
      <w:bookmarkStart w:id="166" w:name="_Toc355708297"/>
      <w:bookmarkEnd w:id="166"/>
      <w:bookmarkStart w:id="167" w:name="_Toc260836007"/>
      <w:bookmarkEnd w:id="167"/>
      <w:bookmarkStart w:id="168" w:name="_Toc260836008"/>
      <w:bookmarkEnd w:id="168"/>
      <w:bookmarkStart w:id="169" w:name="_Toc225794569"/>
      <w:bookmarkEnd w:id="169"/>
      <w:bookmarkStart w:id="170" w:name="_Toc379873864"/>
      <w:bookmarkStart w:id="171" w:name="_Toc174510072"/>
      <w:r>
        <w:rPr>
          <w:rFonts w:hint="eastAsia" w:ascii="宋体" w:hAnsi="宋体" w:cs="宋体"/>
          <w:b/>
          <w:color w:val="000000"/>
          <w:sz w:val="24"/>
          <w:lang w:bidi="ar"/>
        </w:rPr>
        <w:t>权利主体、授权和费用</w:t>
      </w:r>
    </w:p>
    <w:p>
      <w:pPr>
        <w:numPr>
          <w:ilvl w:val="1"/>
          <w:numId w:val="2"/>
        </w:numPr>
        <w:tabs>
          <w:tab w:val="left" w:pos="425"/>
        </w:tabs>
        <w:spacing w:line="480" w:lineRule="exact"/>
        <w:ind w:left="0" w:firstLine="480"/>
        <w:outlineLvl w:val="0"/>
        <w:rPr>
          <w:rFonts w:ascii="宋体" w:hAnsi="宋体" w:cs="宋体"/>
          <w:b/>
          <w:color w:val="000000"/>
          <w:sz w:val="24"/>
        </w:rPr>
      </w:pPr>
      <w:r>
        <w:rPr>
          <w:rFonts w:hint="eastAsia" w:ascii="宋体" w:hAnsi="宋体" w:cs="宋体"/>
          <w:b/>
          <w:color w:val="000000"/>
          <w:sz w:val="24"/>
          <w:lang w:bidi="ar"/>
        </w:rPr>
        <w:t xml:space="preserve">权利主体   </w:t>
      </w:r>
    </w:p>
    <w:p>
      <w:pPr>
        <w:tabs>
          <w:tab w:val="left" w:pos="992"/>
          <w:tab w:val="left" w:pos="1418"/>
        </w:tabs>
        <w:spacing w:line="480" w:lineRule="exact"/>
        <w:ind w:firstLine="480"/>
        <w:outlineLvl w:val="0"/>
        <w:rPr>
          <w:rFonts w:ascii="宋体" w:hAnsi="宋体" w:cs="宋体"/>
          <w:color w:val="000000"/>
          <w:sz w:val="24"/>
        </w:rPr>
      </w:pPr>
      <w:r>
        <w:rPr>
          <w:rFonts w:hint="eastAsia" w:ascii="宋体" w:hAnsi="宋体" w:cs="宋体"/>
          <w:color w:val="000000"/>
          <w:sz w:val="24"/>
          <w:lang w:bidi="ar"/>
        </w:rPr>
        <w:t>4.1.</w:t>
      </w:r>
      <w:r>
        <w:rPr>
          <w:rFonts w:ascii="宋体" w:hAnsi="宋体" w:cs="宋体"/>
          <w:color w:val="000000"/>
          <w:sz w:val="24"/>
          <w:lang w:bidi="ar"/>
        </w:rPr>
        <w:t>1</w:t>
      </w:r>
      <w:r>
        <w:rPr>
          <w:rFonts w:hint="eastAsia" w:ascii="宋体" w:hAnsi="宋体" w:cs="宋体"/>
          <w:color w:val="000000"/>
          <w:sz w:val="24"/>
          <w:lang w:bidi="ar"/>
        </w:rPr>
        <w:t>交割日前甲方仍作为标的债权的债权人，仍保留标的债权及其债权文件（包括主债权合同、担保合同、收据、往来函件、权利凭证、诉讼文书等法律文件）之原件；根据乙方申请，甲方可以提供标的债权文件的复印件给乙方。</w:t>
      </w:r>
    </w:p>
    <w:p>
      <w:pPr>
        <w:tabs>
          <w:tab w:val="left" w:pos="992"/>
          <w:tab w:val="left" w:pos="1418"/>
        </w:tabs>
        <w:spacing w:line="480" w:lineRule="exact"/>
        <w:ind w:firstLine="480"/>
        <w:outlineLvl w:val="0"/>
        <w:rPr>
          <w:rFonts w:ascii="宋体" w:hAnsi="宋体" w:cs="宋体"/>
          <w:color w:val="000000"/>
          <w:sz w:val="24"/>
        </w:rPr>
      </w:pPr>
      <w:r>
        <w:rPr>
          <w:rFonts w:hint="eastAsia" w:ascii="宋体" w:hAnsi="宋体" w:cs="宋体"/>
          <w:color w:val="000000"/>
          <w:sz w:val="24"/>
          <w:lang w:bidi="ar"/>
        </w:rPr>
        <w:t>4.1.</w:t>
      </w:r>
      <w:r>
        <w:rPr>
          <w:rFonts w:ascii="宋体" w:hAnsi="宋体" w:cs="宋体"/>
          <w:color w:val="000000"/>
          <w:sz w:val="24"/>
          <w:lang w:bidi="ar"/>
        </w:rPr>
        <w:t>2</w:t>
      </w:r>
      <w:r>
        <w:rPr>
          <w:rFonts w:hint="eastAsia" w:ascii="宋体" w:hAnsi="宋体" w:cs="宋体"/>
          <w:color w:val="000000"/>
          <w:sz w:val="24"/>
          <w:lang w:bidi="ar"/>
        </w:rPr>
        <w:t>交割日前标的债权处置中涉及的司法程序（包括诉讼/仲裁、执行、破产等程序）中的权利主体仍为原主体，不变更为乙方。</w:t>
      </w:r>
    </w:p>
    <w:p>
      <w:pPr>
        <w:numPr>
          <w:ilvl w:val="1"/>
          <w:numId w:val="2"/>
        </w:numPr>
        <w:tabs>
          <w:tab w:val="left" w:pos="425"/>
          <w:tab w:val="left" w:pos="1418"/>
        </w:tabs>
        <w:spacing w:line="480" w:lineRule="exact"/>
        <w:ind w:left="0" w:firstLine="480"/>
        <w:outlineLvl w:val="0"/>
        <w:rPr>
          <w:rFonts w:ascii="宋体" w:hAnsi="宋体" w:cs="宋体"/>
          <w:color w:val="000000"/>
          <w:sz w:val="24"/>
        </w:rPr>
      </w:pPr>
      <w:r>
        <w:rPr>
          <w:rFonts w:hint="eastAsia" w:ascii="宋体" w:hAnsi="宋体" w:cs="宋体"/>
          <w:color w:val="000000"/>
          <w:sz w:val="24"/>
          <w:lang w:bidi="ar"/>
        </w:rPr>
        <w:t>无论甲方是否授权乙方或者乙方指定第三方处置的，因标的债权处置过程中产生的一切税费和有关费用由乙方或乙方指定的第三方承担，该等税费或费用甲方不予垫付，均由乙方或乙方指定的第三方支付至甲方账户后，甲方代为支付或由乙方或乙方指定的第三方直接支付，如甲方代为支付的，乙方应按甲方要求提供代付申请函或协助函。在乙方或乙方指定的第三方未足额支付该等税费或费用前，甲方有权不予配合乙方或乙方指定的第三方办理相关手续，且甲方不承担因此影响处置程序而导致的任何损失。乙方或乙方指定的第三方应当承担的处置费用包括但不限于：</w:t>
      </w:r>
    </w:p>
    <w:p>
      <w:pPr>
        <w:tabs>
          <w:tab w:val="left" w:pos="992"/>
          <w:tab w:val="left" w:pos="1418"/>
        </w:tabs>
        <w:spacing w:line="480" w:lineRule="exact"/>
        <w:ind w:firstLine="480"/>
        <w:outlineLvl w:val="0"/>
        <w:rPr>
          <w:rFonts w:ascii="宋体" w:hAnsi="宋体" w:cs="宋体"/>
          <w:color w:val="000000"/>
          <w:sz w:val="24"/>
        </w:rPr>
      </w:pPr>
      <w:r>
        <w:rPr>
          <w:rFonts w:hint="eastAsia" w:ascii="宋体" w:hAnsi="宋体" w:cs="宋体"/>
          <w:color w:val="000000"/>
          <w:sz w:val="24"/>
          <w:lang w:bidi="ar"/>
        </w:rPr>
        <w:t>4.2.1标的债权处置过程中涉及的税费、诉讼费（案件受理费、保全费、公告送达费等）、仲裁费、保全担保费/保全保险费、律师费、评估费、拍卖费用、中介费、公告费用、公证费用、执行费、鉴定费、辅拍机构服务费等；</w:t>
      </w:r>
    </w:p>
    <w:p>
      <w:pPr>
        <w:tabs>
          <w:tab w:val="left" w:pos="992"/>
          <w:tab w:val="left" w:pos="1418"/>
        </w:tabs>
        <w:spacing w:line="480" w:lineRule="exact"/>
        <w:ind w:firstLine="480"/>
        <w:outlineLvl w:val="0"/>
        <w:rPr>
          <w:rFonts w:ascii="宋体" w:hAnsi="宋体" w:cs="宋体"/>
          <w:color w:val="000000"/>
          <w:sz w:val="24"/>
        </w:rPr>
      </w:pPr>
      <w:r>
        <w:rPr>
          <w:rFonts w:hint="eastAsia" w:ascii="宋体" w:hAnsi="宋体" w:cs="宋体"/>
          <w:color w:val="000000"/>
          <w:sz w:val="24"/>
          <w:lang w:bidi="ar"/>
        </w:rPr>
        <w:t>4.2.2以物抵债涉及的税费、过户登记过程中发生的税金和费用；</w:t>
      </w:r>
    </w:p>
    <w:p>
      <w:pPr>
        <w:tabs>
          <w:tab w:val="left" w:pos="992"/>
          <w:tab w:val="left" w:pos="1418"/>
        </w:tabs>
        <w:spacing w:line="480" w:lineRule="exact"/>
        <w:ind w:firstLine="480"/>
        <w:outlineLvl w:val="0"/>
        <w:rPr>
          <w:rFonts w:ascii="宋体" w:hAnsi="宋体" w:cs="宋体"/>
          <w:color w:val="000000"/>
          <w:sz w:val="24"/>
        </w:rPr>
      </w:pPr>
      <w:r>
        <w:rPr>
          <w:rFonts w:hint="eastAsia" w:ascii="宋体" w:hAnsi="宋体" w:cs="宋体"/>
          <w:color w:val="000000"/>
          <w:sz w:val="24"/>
          <w:lang w:bidi="ar"/>
        </w:rPr>
        <w:t>4.2.3因委托第三方进行处置而向该第三方支付的报酬；</w:t>
      </w:r>
    </w:p>
    <w:p>
      <w:pPr>
        <w:tabs>
          <w:tab w:val="left" w:pos="992"/>
          <w:tab w:val="left" w:pos="1418"/>
        </w:tabs>
        <w:spacing w:line="480" w:lineRule="exact"/>
        <w:ind w:firstLine="480"/>
        <w:outlineLvl w:val="0"/>
        <w:rPr>
          <w:rFonts w:ascii="宋体" w:hAnsi="宋体" w:cs="宋体"/>
          <w:b/>
          <w:color w:val="000000"/>
          <w:sz w:val="24"/>
        </w:rPr>
      </w:pPr>
      <w:r>
        <w:rPr>
          <w:rFonts w:hint="eastAsia" w:ascii="宋体" w:hAnsi="宋体" w:cs="宋体"/>
          <w:color w:val="000000"/>
          <w:sz w:val="24"/>
          <w:lang w:bidi="ar"/>
        </w:rPr>
        <w:t>4.2.4标的债权处置过程中产生的其它一切费用。</w:t>
      </w:r>
    </w:p>
    <w:p>
      <w:pPr>
        <w:numPr>
          <w:ilvl w:val="0"/>
          <w:numId w:val="2"/>
        </w:numPr>
        <w:spacing w:line="480" w:lineRule="exact"/>
        <w:ind w:left="0" w:firstLine="480"/>
        <w:outlineLvl w:val="0"/>
        <w:rPr>
          <w:rFonts w:ascii="宋体" w:hAnsi="宋体" w:cs="宋体"/>
          <w:b/>
          <w:color w:val="000000"/>
          <w:sz w:val="24"/>
        </w:rPr>
      </w:pPr>
      <w:r>
        <w:rPr>
          <w:rFonts w:hint="eastAsia" w:ascii="宋体" w:hAnsi="宋体" w:cs="宋体"/>
          <w:b/>
          <w:color w:val="000000"/>
          <w:sz w:val="24"/>
          <w:lang w:bidi="ar"/>
        </w:rPr>
        <w:t>权利和义务</w:t>
      </w:r>
    </w:p>
    <w:p>
      <w:pPr>
        <w:numPr>
          <w:ilvl w:val="1"/>
          <w:numId w:val="2"/>
        </w:numPr>
        <w:tabs>
          <w:tab w:val="left" w:pos="425"/>
        </w:tabs>
        <w:spacing w:line="480" w:lineRule="exact"/>
        <w:ind w:left="0" w:firstLine="480"/>
        <w:outlineLvl w:val="0"/>
        <w:rPr>
          <w:rFonts w:ascii="宋体" w:hAnsi="宋体" w:cs="宋体"/>
          <w:b/>
          <w:color w:val="000000"/>
          <w:sz w:val="24"/>
        </w:rPr>
      </w:pPr>
      <w:r>
        <w:rPr>
          <w:rFonts w:hint="eastAsia" w:ascii="宋体" w:hAnsi="宋体" w:cs="宋体"/>
          <w:b/>
          <w:color w:val="000000"/>
          <w:sz w:val="24"/>
          <w:lang w:bidi="ar"/>
        </w:rPr>
        <w:t>甲方的权利和义务</w:t>
      </w:r>
    </w:p>
    <w:p>
      <w:pPr>
        <w:tabs>
          <w:tab w:val="left" w:pos="992"/>
          <w:tab w:val="left" w:pos="1418"/>
        </w:tabs>
        <w:spacing w:line="480" w:lineRule="exact"/>
        <w:ind w:firstLine="480"/>
        <w:outlineLvl w:val="0"/>
        <w:rPr>
          <w:rFonts w:ascii="宋体" w:hAnsi="宋体" w:cs="宋体"/>
          <w:color w:val="000000"/>
          <w:sz w:val="24"/>
        </w:rPr>
      </w:pPr>
      <w:r>
        <w:rPr>
          <w:rFonts w:hint="eastAsia" w:ascii="宋体" w:hAnsi="宋体" w:cs="宋体"/>
          <w:color w:val="000000"/>
          <w:sz w:val="24"/>
          <w:lang w:bidi="ar"/>
        </w:rPr>
        <w:t>5.1.1按照本合同约定取得转让价款和资金占用费、处置费用等应收款项；</w:t>
      </w:r>
    </w:p>
    <w:p>
      <w:pPr>
        <w:tabs>
          <w:tab w:val="left" w:pos="992"/>
          <w:tab w:val="left" w:pos="1418"/>
        </w:tabs>
        <w:spacing w:line="480" w:lineRule="exact"/>
        <w:ind w:firstLine="480"/>
        <w:outlineLvl w:val="0"/>
        <w:rPr>
          <w:rFonts w:ascii="宋体" w:hAnsi="宋体" w:cs="宋体"/>
          <w:color w:val="000000"/>
          <w:sz w:val="24"/>
        </w:rPr>
      </w:pPr>
      <w:r>
        <w:rPr>
          <w:rFonts w:hint="eastAsia" w:ascii="宋体" w:hAnsi="宋体" w:cs="宋体"/>
          <w:color w:val="000000"/>
          <w:sz w:val="24"/>
          <w:lang w:bidi="ar"/>
        </w:rPr>
        <w:t>5.1.2除甲方基于对第三方保密义务而无法提供的外，乙方支付全部转让价款和资金占用费等款项后，根据乙方或乙方指定的第三方申请，甲方可以提供标的债权文件给乙方或乙方指定的第三方；</w:t>
      </w:r>
    </w:p>
    <w:p>
      <w:pPr>
        <w:tabs>
          <w:tab w:val="left" w:pos="992"/>
          <w:tab w:val="left" w:pos="1418"/>
        </w:tabs>
        <w:spacing w:line="480" w:lineRule="exact"/>
        <w:ind w:firstLine="480"/>
        <w:outlineLvl w:val="0"/>
        <w:rPr>
          <w:rFonts w:ascii="宋体" w:hAnsi="宋体" w:cs="宋体"/>
          <w:color w:val="000000"/>
          <w:sz w:val="24"/>
        </w:rPr>
      </w:pPr>
      <w:r>
        <w:rPr>
          <w:rFonts w:hint="eastAsia" w:ascii="宋体" w:hAnsi="宋体" w:cs="宋体"/>
          <w:color w:val="000000"/>
          <w:sz w:val="24"/>
          <w:lang w:bidi="ar"/>
        </w:rPr>
        <w:t>5.1.3协助乙方办理标的债权处置过程中所需的相关手续。</w:t>
      </w:r>
    </w:p>
    <w:p>
      <w:pPr>
        <w:numPr>
          <w:ilvl w:val="1"/>
          <w:numId w:val="2"/>
        </w:numPr>
        <w:tabs>
          <w:tab w:val="left" w:pos="425"/>
        </w:tabs>
        <w:spacing w:line="480" w:lineRule="exact"/>
        <w:ind w:left="0" w:firstLine="480"/>
        <w:outlineLvl w:val="0"/>
        <w:rPr>
          <w:rFonts w:ascii="宋体" w:hAnsi="宋体" w:cs="宋体"/>
          <w:b/>
          <w:color w:val="000000"/>
          <w:sz w:val="24"/>
        </w:rPr>
      </w:pPr>
      <w:r>
        <w:rPr>
          <w:rFonts w:hint="eastAsia" w:ascii="宋体" w:hAnsi="宋体" w:cs="宋体"/>
          <w:b/>
          <w:color w:val="000000"/>
          <w:sz w:val="24"/>
          <w:lang w:bidi="ar"/>
        </w:rPr>
        <w:t>乙方的权利和义务</w:t>
      </w:r>
    </w:p>
    <w:p>
      <w:pPr>
        <w:tabs>
          <w:tab w:val="left" w:pos="1418"/>
        </w:tabs>
        <w:spacing w:line="480" w:lineRule="exact"/>
        <w:ind w:firstLine="480"/>
        <w:outlineLvl w:val="0"/>
        <w:rPr>
          <w:rFonts w:ascii="宋体" w:hAnsi="宋体" w:cs="宋体"/>
          <w:color w:val="000000"/>
          <w:sz w:val="24"/>
        </w:rPr>
      </w:pPr>
      <w:r>
        <w:rPr>
          <w:rFonts w:hint="eastAsia" w:ascii="宋体" w:hAnsi="宋体" w:cs="宋体"/>
          <w:color w:val="000000"/>
          <w:sz w:val="24"/>
          <w:lang w:bidi="ar"/>
        </w:rPr>
        <w:t>5.2.1按照本合同约定支付转让价款和资金占用费、处置费用等应付款项；</w:t>
      </w:r>
    </w:p>
    <w:p>
      <w:pPr>
        <w:tabs>
          <w:tab w:val="left" w:pos="1418"/>
        </w:tabs>
        <w:spacing w:line="480" w:lineRule="exact"/>
        <w:ind w:firstLine="480"/>
        <w:outlineLvl w:val="0"/>
        <w:rPr>
          <w:rFonts w:ascii="宋体" w:hAnsi="宋体" w:cs="宋体"/>
          <w:color w:val="000000"/>
          <w:sz w:val="24"/>
        </w:rPr>
      </w:pPr>
      <w:r>
        <w:rPr>
          <w:rFonts w:hint="eastAsia" w:ascii="宋体" w:hAnsi="宋体" w:cs="宋体"/>
          <w:color w:val="000000"/>
          <w:sz w:val="24"/>
          <w:lang w:bidi="ar"/>
        </w:rPr>
        <w:t>5.2.2除甲方基于对第三方保密义务而无法提供的外，全部支付转让价款和资金占用费后，乙方有权要求甲方提供标的债权证明文件；</w:t>
      </w:r>
    </w:p>
    <w:p>
      <w:pPr>
        <w:tabs>
          <w:tab w:val="left" w:pos="1418"/>
        </w:tabs>
        <w:spacing w:line="480" w:lineRule="exact"/>
        <w:ind w:firstLine="480"/>
        <w:outlineLvl w:val="0"/>
        <w:rPr>
          <w:rFonts w:ascii="宋体" w:hAnsi="宋体" w:cs="宋体"/>
          <w:color w:val="000000"/>
          <w:sz w:val="24"/>
        </w:rPr>
      </w:pPr>
      <w:r>
        <w:rPr>
          <w:rFonts w:hint="eastAsia" w:ascii="宋体" w:hAnsi="宋体" w:cs="宋体"/>
          <w:color w:val="000000"/>
          <w:sz w:val="24"/>
          <w:lang w:bidi="ar"/>
        </w:rPr>
        <w:t>5.2.3交割日前未经甲方同意，乙方不得将标的债权全部或部分转让，或在标的债权上设定任何第三方权利，否则乙方应当承担甲方由此产生的全部损失。</w:t>
      </w:r>
    </w:p>
    <w:p>
      <w:pPr>
        <w:numPr>
          <w:ilvl w:val="0"/>
          <w:numId w:val="2"/>
        </w:numPr>
        <w:spacing w:line="480" w:lineRule="exact"/>
        <w:ind w:left="0" w:firstLine="480"/>
        <w:outlineLvl w:val="0"/>
        <w:rPr>
          <w:rFonts w:ascii="宋体" w:hAnsi="宋体" w:cs="宋体"/>
          <w:b/>
          <w:color w:val="000000"/>
          <w:sz w:val="24"/>
        </w:rPr>
      </w:pPr>
      <w:r>
        <w:rPr>
          <w:rFonts w:hint="eastAsia" w:ascii="宋体" w:hAnsi="宋体" w:cs="宋体"/>
          <w:b/>
          <w:color w:val="000000"/>
          <w:sz w:val="24"/>
          <w:lang w:bidi="ar"/>
        </w:rPr>
        <w:t>甲方的陈述、保证与承诺</w:t>
      </w:r>
      <w:bookmarkEnd w:id="170"/>
    </w:p>
    <w:p>
      <w:pPr>
        <w:numPr>
          <w:ilvl w:val="1"/>
          <w:numId w:val="2"/>
        </w:numPr>
        <w:spacing w:line="480" w:lineRule="exact"/>
        <w:ind w:left="0" w:firstLine="480"/>
        <w:rPr>
          <w:rFonts w:ascii="宋体" w:hAnsi="宋体" w:cs="宋体"/>
          <w:b/>
          <w:color w:val="000000"/>
          <w:sz w:val="24"/>
        </w:rPr>
      </w:pPr>
      <w:bookmarkStart w:id="172" w:name="_Toc93907966"/>
      <w:bookmarkStart w:id="173" w:name="_Toc83187651"/>
      <w:bookmarkStart w:id="174" w:name="_Toc100478935"/>
      <w:bookmarkStart w:id="175" w:name="_Toc91515283"/>
      <w:bookmarkStart w:id="176" w:name="_Toc129936069"/>
      <w:bookmarkStart w:id="177" w:name="_Toc86309802"/>
      <w:bookmarkStart w:id="178" w:name="_Toc87157511"/>
      <w:bookmarkStart w:id="179" w:name="_Toc85000182"/>
      <w:bookmarkStart w:id="180" w:name="_Toc87114614"/>
      <w:bookmarkStart w:id="181" w:name="_Toc90196070"/>
      <w:bookmarkStart w:id="182" w:name="_Toc84322514"/>
      <w:bookmarkStart w:id="183" w:name="_Toc89406814"/>
      <w:bookmarkStart w:id="184" w:name="_Toc84323707"/>
      <w:bookmarkStart w:id="185" w:name="_Toc89859620"/>
      <w:bookmarkStart w:id="186" w:name="_Toc90196291"/>
      <w:bookmarkStart w:id="187" w:name="_Toc89525611"/>
      <w:bookmarkStart w:id="188" w:name="_Toc99883660"/>
      <w:bookmarkStart w:id="189" w:name="_Toc89860319"/>
      <w:bookmarkStart w:id="190" w:name="_Toc93489426"/>
      <w:bookmarkStart w:id="191" w:name="_Toc90350209"/>
      <w:r>
        <w:rPr>
          <w:rFonts w:hint="eastAsia" w:ascii="宋体" w:hAnsi="宋体" w:cs="宋体"/>
          <w:b/>
          <w:color w:val="000000"/>
          <w:sz w:val="24"/>
          <w:lang w:bidi="ar"/>
        </w:rPr>
        <w:t>甲方对自身的陈述和保证</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pPr>
        <w:spacing w:line="480" w:lineRule="exact"/>
        <w:ind w:firstLine="480"/>
        <w:rPr>
          <w:rFonts w:ascii="宋体" w:hAnsi="宋体" w:cs="宋体"/>
          <w:color w:val="000000"/>
          <w:sz w:val="24"/>
        </w:rPr>
      </w:pPr>
      <w:r>
        <w:rPr>
          <w:rFonts w:hint="eastAsia" w:ascii="宋体" w:hAnsi="宋体" w:cs="宋体"/>
          <w:color w:val="000000"/>
          <w:sz w:val="24"/>
          <w:lang w:bidi="ar"/>
        </w:rPr>
        <w:t>甲方就自身向乙方作出以下的陈述和保证，下述各项陈述和保证均属真实和正确：</w:t>
      </w:r>
    </w:p>
    <w:p>
      <w:pPr>
        <w:numPr>
          <w:ilvl w:val="255"/>
          <w:numId w:val="0"/>
        </w:numPr>
        <w:tabs>
          <w:tab w:val="left" w:pos="992"/>
          <w:tab w:val="left" w:pos="1418"/>
        </w:tabs>
        <w:spacing w:line="480" w:lineRule="exact"/>
        <w:ind w:firstLine="480"/>
        <w:outlineLvl w:val="0"/>
        <w:rPr>
          <w:rFonts w:ascii="宋体" w:hAnsi="宋体" w:cs="宋体"/>
          <w:color w:val="000000"/>
          <w:sz w:val="24"/>
          <w:lang w:bidi="ar"/>
        </w:rPr>
      </w:pPr>
      <w:r>
        <w:rPr>
          <w:rFonts w:hint="eastAsia" w:ascii="宋体" w:hAnsi="宋体" w:cs="宋体"/>
          <w:color w:val="000000"/>
          <w:sz w:val="24"/>
          <w:lang w:eastAsia="zh-Hans" w:bidi="ar"/>
        </w:rPr>
        <w:t>（1）</w:t>
      </w:r>
      <w:r>
        <w:rPr>
          <w:rFonts w:hint="eastAsia" w:ascii="宋体" w:hAnsi="宋体" w:cs="宋体"/>
          <w:color w:val="000000"/>
          <w:sz w:val="24"/>
          <w:lang w:bidi="ar"/>
        </w:rPr>
        <w:t>甲方是一家合法设立并有效存续的有限责任公司，具有从事包括银行不良贷款等不良资产收购和处置的资质。</w:t>
      </w:r>
    </w:p>
    <w:p>
      <w:pPr>
        <w:numPr>
          <w:ilvl w:val="255"/>
          <w:numId w:val="0"/>
        </w:numPr>
        <w:tabs>
          <w:tab w:val="left" w:pos="992"/>
          <w:tab w:val="left" w:pos="1418"/>
        </w:tabs>
        <w:spacing w:line="480" w:lineRule="exact"/>
        <w:ind w:firstLine="480"/>
        <w:outlineLvl w:val="0"/>
        <w:rPr>
          <w:rFonts w:ascii="宋体" w:hAnsi="宋体" w:cs="宋体"/>
          <w:color w:val="000000"/>
          <w:sz w:val="24"/>
          <w:lang w:eastAsia="zh-Hans" w:bidi="ar"/>
        </w:rPr>
      </w:pPr>
      <w:r>
        <w:rPr>
          <w:rFonts w:hint="eastAsia" w:ascii="宋体" w:hAnsi="宋体" w:cs="宋体"/>
          <w:color w:val="000000"/>
          <w:sz w:val="24"/>
          <w:lang w:eastAsia="zh-Hans" w:bidi="ar"/>
        </w:rPr>
        <w:t>（</w:t>
      </w:r>
      <w:r>
        <w:rPr>
          <w:rFonts w:ascii="宋体" w:hAnsi="宋体" w:cs="宋体"/>
          <w:color w:val="000000"/>
          <w:sz w:val="24"/>
          <w:lang w:eastAsia="zh-Hans" w:bidi="ar"/>
        </w:rPr>
        <w:t>2</w:t>
      </w:r>
      <w:r>
        <w:rPr>
          <w:rFonts w:hint="eastAsia" w:ascii="宋体" w:hAnsi="宋体" w:cs="宋体"/>
          <w:color w:val="000000"/>
          <w:sz w:val="24"/>
          <w:lang w:eastAsia="zh-Hans" w:bidi="ar"/>
        </w:rPr>
        <w:t>）甲方对本合同的签署和履行，以及甲方作为当事人一方对与本合同有关的其他合同、承诺及文件的签署和履行，符合甲方的经营范围，已得到公司内部必要的授权。</w:t>
      </w:r>
    </w:p>
    <w:p>
      <w:pPr>
        <w:numPr>
          <w:ilvl w:val="255"/>
          <w:numId w:val="0"/>
        </w:numPr>
        <w:tabs>
          <w:tab w:val="left" w:pos="992"/>
          <w:tab w:val="left" w:pos="1418"/>
        </w:tabs>
        <w:spacing w:line="480" w:lineRule="exact"/>
        <w:ind w:firstLine="480"/>
        <w:outlineLvl w:val="0"/>
        <w:rPr>
          <w:rFonts w:ascii="宋体" w:hAnsi="宋体" w:cs="宋体"/>
          <w:color w:val="000000"/>
          <w:sz w:val="24"/>
          <w:lang w:eastAsia="zh-Hans" w:bidi="ar"/>
        </w:rPr>
      </w:pPr>
      <w:r>
        <w:rPr>
          <w:rFonts w:hint="eastAsia" w:ascii="宋体" w:hAnsi="宋体" w:cs="宋体"/>
          <w:color w:val="000000"/>
          <w:sz w:val="24"/>
          <w:lang w:eastAsia="zh-Hans" w:bidi="ar"/>
        </w:rPr>
        <w:t>（</w:t>
      </w:r>
      <w:r>
        <w:rPr>
          <w:rFonts w:ascii="宋体" w:hAnsi="宋体" w:cs="宋体"/>
          <w:color w:val="000000"/>
          <w:sz w:val="24"/>
          <w:lang w:eastAsia="zh-Hans" w:bidi="ar"/>
        </w:rPr>
        <w:t>3</w:t>
      </w:r>
      <w:r>
        <w:rPr>
          <w:rFonts w:hint="eastAsia" w:ascii="宋体" w:hAnsi="宋体" w:cs="宋体"/>
          <w:color w:val="000000"/>
          <w:sz w:val="24"/>
          <w:lang w:eastAsia="zh-Hans" w:bidi="ar"/>
        </w:rPr>
        <w:t>）本合同一经甲方正式签署，即对甲方是合法、有效且有约束力的。</w:t>
      </w:r>
    </w:p>
    <w:p>
      <w:pPr>
        <w:numPr>
          <w:ilvl w:val="1"/>
          <w:numId w:val="2"/>
        </w:numPr>
        <w:spacing w:line="480" w:lineRule="exact"/>
        <w:ind w:left="0" w:firstLine="480"/>
        <w:rPr>
          <w:rFonts w:ascii="宋体" w:hAnsi="宋体" w:cs="宋体"/>
          <w:b/>
          <w:color w:val="000000"/>
          <w:sz w:val="24"/>
        </w:rPr>
      </w:pPr>
      <w:r>
        <w:rPr>
          <w:rFonts w:hint="eastAsia" w:ascii="宋体" w:hAnsi="宋体" w:cs="宋体"/>
          <w:b/>
          <w:color w:val="000000"/>
          <w:sz w:val="24"/>
          <w:lang w:bidi="ar"/>
        </w:rPr>
        <w:t>甲方的承诺</w:t>
      </w:r>
    </w:p>
    <w:p>
      <w:pPr>
        <w:spacing w:line="480" w:lineRule="exact"/>
        <w:ind w:firstLine="480"/>
        <w:rPr>
          <w:rFonts w:ascii="宋体" w:hAnsi="宋体" w:cs="宋体"/>
          <w:color w:val="000000"/>
          <w:sz w:val="24"/>
        </w:rPr>
      </w:pPr>
      <w:r>
        <w:rPr>
          <w:rFonts w:hint="eastAsia" w:ascii="宋体" w:hAnsi="宋体" w:cs="宋体"/>
          <w:color w:val="000000"/>
          <w:sz w:val="24"/>
          <w:lang w:bidi="ar"/>
        </w:rPr>
        <w:t>甲方向乙方承诺如下</w:t>
      </w:r>
    </w:p>
    <w:p>
      <w:pPr>
        <w:numPr>
          <w:ilvl w:val="255"/>
          <w:numId w:val="0"/>
        </w:numPr>
        <w:tabs>
          <w:tab w:val="left" w:pos="992"/>
          <w:tab w:val="left" w:pos="1418"/>
        </w:tabs>
        <w:spacing w:line="480" w:lineRule="exact"/>
        <w:ind w:firstLine="480"/>
        <w:outlineLvl w:val="0"/>
        <w:rPr>
          <w:rFonts w:ascii="宋体" w:hAnsi="宋体" w:cs="宋体"/>
          <w:color w:val="000000"/>
          <w:sz w:val="24"/>
          <w:lang w:eastAsia="zh-Hans" w:bidi="ar"/>
        </w:rPr>
      </w:pPr>
      <w:r>
        <w:rPr>
          <w:rFonts w:hint="eastAsia" w:ascii="宋体" w:hAnsi="宋体" w:cs="宋体"/>
          <w:color w:val="000000"/>
          <w:sz w:val="24"/>
          <w:lang w:eastAsia="zh-Hans" w:bidi="ar"/>
        </w:rPr>
        <w:t>（</w:t>
      </w:r>
      <w:r>
        <w:rPr>
          <w:rFonts w:ascii="宋体" w:hAnsi="宋体" w:cs="宋体"/>
          <w:color w:val="000000"/>
          <w:sz w:val="24"/>
          <w:lang w:eastAsia="zh-Hans" w:bidi="ar"/>
        </w:rPr>
        <w:t>1</w:t>
      </w:r>
      <w:r>
        <w:rPr>
          <w:rFonts w:hint="eastAsia" w:ascii="宋体" w:hAnsi="宋体" w:cs="宋体"/>
          <w:color w:val="000000"/>
          <w:sz w:val="24"/>
          <w:lang w:eastAsia="zh-Hans" w:bidi="ar"/>
        </w:rPr>
        <w:t>）甲方系标的债权合法有效的债权人。</w:t>
      </w:r>
    </w:p>
    <w:p>
      <w:pPr>
        <w:numPr>
          <w:ilvl w:val="255"/>
          <w:numId w:val="0"/>
        </w:numPr>
        <w:tabs>
          <w:tab w:val="left" w:pos="992"/>
          <w:tab w:val="left" w:pos="1418"/>
        </w:tabs>
        <w:spacing w:line="480" w:lineRule="exact"/>
        <w:ind w:firstLine="480"/>
        <w:outlineLvl w:val="0"/>
        <w:rPr>
          <w:rFonts w:ascii="宋体" w:hAnsi="宋体" w:cs="宋体"/>
          <w:color w:val="000000"/>
          <w:sz w:val="24"/>
          <w:lang w:eastAsia="zh-Hans" w:bidi="ar"/>
        </w:rPr>
      </w:pPr>
      <w:r>
        <w:rPr>
          <w:rFonts w:hint="eastAsia" w:ascii="宋体" w:hAnsi="宋体" w:cs="宋体"/>
          <w:color w:val="000000"/>
          <w:sz w:val="24"/>
          <w:lang w:eastAsia="zh-Hans" w:bidi="ar"/>
        </w:rPr>
        <w:t>（</w:t>
      </w:r>
      <w:r>
        <w:rPr>
          <w:rFonts w:ascii="宋体" w:hAnsi="宋体" w:cs="宋体"/>
          <w:color w:val="000000"/>
          <w:sz w:val="24"/>
          <w:lang w:eastAsia="zh-Hans" w:bidi="ar"/>
        </w:rPr>
        <w:t>2</w:t>
      </w:r>
      <w:r>
        <w:rPr>
          <w:rFonts w:hint="eastAsia" w:ascii="宋体" w:hAnsi="宋体" w:cs="宋体"/>
          <w:color w:val="000000"/>
          <w:sz w:val="24"/>
          <w:lang w:eastAsia="zh-Hans" w:bidi="ar"/>
        </w:rPr>
        <w:t>）以书面通知形式向乙方披露有关信息，包括：甲方变更住所、通讯地址、经营范围、法定代表人等工商登记事项，在变更发生后五个工作日内书面通知乙方。</w:t>
      </w:r>
    </w:p>
    <w:p>
      <w:pPr>
        <w:numPr>
          <w:ilvl w:val="0"/>
          <w:numId w:val="2"/>
        </w:numPr>
        <w:spacing w:line="480" w:lineRule="exact"/>
        <w:ind w:left="0" w:firstLine="480"/>
        <w:outlineLvl w:val="0"/>
        <w:rPr>
          <w:rFonts w:ascii="宋体" w:hAnsi="宋体" w:cs="宋体"/>
          <w:b/>
          <w:color w:val="000000"/>
          <w:sz w:val="24"/>
        </w:rPr>
      </w:pPr>
      <w:bookmarkStart w:id="192" w:name="_Toc260836010"/>
      <w:bookmarkEnd w:id="192"/>
      <w:bookmarkStart w:id="193" w:name="_Toc379873865"/>
      <w:r>
        <w:rPr>
          <w:rFonts w:hint="eastAsia" w:ascii="宋体" w:hAnsi="宋体" w:cs="宋体"/>
          <w:b/>
          <w:color w:val="000000"/>
          <w:sz w:val="24"/>
          <w:lang w:bidi="ar"/>
        </w:rPr>
        <w:t>乙方的陈述与保证</w:t>
      </w:r>
      <w:bookmarkEnd w:id="193"/>
    </w:p>
    <w:p>
      <w:pPr>
        <w:tabs>
          <w:tab w:val="left" w:pos="992"/>
          <w:tab w:val="left" w:pos="1418"/>
        </w:tabs>
        <w:spacing w:line="480" w:lineRule="exact"/>
        <w:ind w:firstLine="480"/>
        <w:outlineLvl w:val="0"/>
        <w:rPr>
          <w:rFonts w:ascii="宋体" w:hAnsi="宋体" w:cs="宋体"/>
          <w:color w:val="000000"/>
          <w:sz w:val="24"/>
          <w:lang w:eastAsia="zh-Hans" w:bidi="ar"/>
        </w:rPr>
      </w:pPr>
      <w:r>
        <w:rPr>
          <w:rFonts w:hint="eastAsia" w:ascii="宋体" w:hAnsi="宋体" w:cs="宋体"/>
          <w:color w:val="000000"/>
          <w:sz w:val="24"/>
          <w:lang w:eastAsia="zh-Hans" w:bidi="ar"/>
        </w:rPr>
        <w:t>乙方向甲方作出以下的陈述和保证，下述各项陈述和保证均属真实和正确：</w:t>
      </w:r>
    </w:p>
    <w:p>
      <w:pPr>
        <w:numPr>
          <w:ilvl w:val="255"/>
          <w:numId w:val="0"/>
        </w:numPr>
        <w:tabs>
          <w:tab w:val="left" w:pos="992"/>
          <w:tab w:val="left" w:pos="1418"/>
        </w:tabs>
        <w:spacing w:line="480" w:lineRule="exact"/>
        <w:ind w:firstLine="480"/>
        <w:outlineLvl w:val="0"/>
        <w:rPr>
          <w:rFonts w:ascii="宋体" w:hAnsi="宋体" w:cs="宋体"/>
          <w:color w:val="000000"/>
          <w:sz w:val="24"/>
          <w:lang w:eastAsia="zh-Hans" w:bidi="ar"/>
        </w:rPr>
      </w:pPr>
      <w:r>
        <w:rPr>
          <w:rFonts w:hint="eastAsia" w:ascii="宋体" w:hAnsi="宋体" w:cs="宋体"/>
          <w:color w:val="000000"/>
          <w:sz w:val="24"/>
          <w:lang w:eastAsia="zh-Hans" w:bidi="ar"/>
        </w:rPr>
        <w:t>（</w:t>
      </w:r>
      <w:r>
        <w:rPr>
          <w:rFonts w:ascii="宋体" w:hAnsi="宋体" w:cs="宋体"/>
          <w:color w:val="000000"/>
          <w:sz w:val="24"/>
          <w:lang w:eastAsia="zh-Hans" w:bidi="ar"/>
        </w:rPr>
        <w:t>1</w:t>
      </w:r>
      <w:r>
        <w:rPr>
          <w:rFonts w:hint="eastAsia" w:ascii="宋体" w:hAnsi="宋体" w:cs="宋体"/>
          <w:color w:val="000000"/>
          <w:sz w:val="24"/>
          <w:lang w:eastAsia="zh-Hans" w:bidi="ar"/>
        </w:rPr>
        <w:t>）乙方系</w:t>
      </w:r>
      <w:r>
        <w:rPr>
          <w:rFonts w:ascii="Wingdings 2" w:hAnsi="Wingdings 2" w:eastAsia="Wingdings 2" w:cs="Wingdings 2"/>
          <w:color w:val="000000"/>
          <w:sz w:val="24"/>
          <w:lang w:eastAsia="zh-Hans" w:bidi="ar"/>
        </w:rPr>
        <w:t></w:t>
      </w:r>
      <w:r>
        <w:rPr>
          <w:rFonts w:hint="eastAsia" w:ascii="宋体" w:hAnsi="宋体" w:cs="宋体"/>
          <w:color w:val="000000"/>
          <w:sz w:val="24"/>
          <w:lang w:eastAsia="zh-Hans" w:bidi="ar"/>
        </w:rPr>
        <w:t>依据中国法律设立并有效存续的有限公司□具备完全民事行为能力的自然人，但不属于国家公务员、金融监管机构工作人员、政法干警、资产公司工作人员、国企债务人管理人员、参与资产处置工作的律师、会计师、评估师等中介机构等关联人或者上述关联人参与的非金融机构法人；不属于与参与不良债权转让的资产公司工作人员、国企债务人或者受托资产评估机构负责人员等有近亲属关系的人员;</w:t>
      </w:r>
      <w:r>
        <w:rPr>
          <w:rFonts w:hint="eastAsia"/>
        </w:rPr>
        <w:t xml:space="preserve"> </w:t>
      </w:r>
      <w:r>
        <w:rPr>
          <w:rFonts w:hint="eastAsia" w:ascii="宋体" w:hAnsi="宋体" w:cs="宋体"/>
          <w:color w:val="000000"/>
          <w:sz w:val="24"/>
          <w:lang w:eastAsia="zh-Hans" w:bidi="ar"/>
        </w:rPr>
        <w:t>不属于竞价标的所涉及的债务人和担保人及其关联方</w:t>
      </w:r>
      <w:r>
        <w:rPr>
          <w:rFonts w:hint="eastAsia" w:ascii="宋体" w:hAnsi="宋体" w:cs="宋体"/>
          <w:color w:val="000000"/>
          <w:sz w:val="24"/>
          <w:lang w:bidi="ar"/>
        </w:rPr>
        <w:t>；</w:t>
      </w:r>
      <w:r>
        <w:rPr>
          <w:rFonts w:hint="eastAsia" w:ascii="宋体" w:hAnsi="宋体" w:cs="宋体"/>
          <w:color w:val="000000"/>
          <w:sz w:val="24"/>
          <w:lang w:eastAsia="zh-Hans" w:bidi="ar"/>
        </w:rPr>
        <w:t>不属于失信被执行人或失信被执行人的法定代表人、主要负责人、影响债务履行的直接责任人员。</w:t>
      </w:r>
    </w:p>
    <w:p>
      <w:pPr>
        <w:numPr>
          <w:ilvl w:val="255"/>
          <w:numId w:val="0"/>
        </w:numPr>
        <w:tabs>
          <w:tab w:val="left" w:pos="992"/>
          <w:tab w:val="left" w:pos="1418"/>
        </w:tabs>
        <w:spacing w:line="480" w:lineRule="exact"/>
        <w:ind w:firstLine="480"/>
        <w:outlineLvl w:val="0"/>
        <w:rPr>
          <w:rFonts w:ascii="宋体" w:hAnsi="宋体" w:cs="宋体"/>
          <w:color w:val="000000"/>
          <w:sz w:val="24"/>
          <w:lang w:eastAsia="zh-Hans" w:bidi="ar"/>
        </w:rPr>
      </w:pPr>
      <w:r>
        <w:rPr>
          <w:rFonts w:hint="eastAsia" w:ascii="宋体" w:hAnsi="宋体" w:cs="宋体"/>
          <w:color w:val="000000"/>
          <w:sz w:val="24"/>
          <w:lang w:eastAsia="zh-Hans" w:bidi="ar"/>
        </w:rPr>
        <w:t>（</w:t>
      </w:r>
      <w:r>
        <w:rPr>
          <w:rFonts w:ascii="宋体" w:hAnsi="宋体" w:cs="宋体"/>
          <w:color w:val="000000"/>
          <w:sz w:val="24"/>
          <w:lang w:eastAsia="zh-Hans" w:bidi="ar"/>
        </w:rPr>
        <w:t>2</w:t>
      </w:r>
      <w:r>
        <w:rPr>
          <w:rFonts w:hint="eastAsia" w:ascii="宋体" w:hAnsi="宋体" w:cs="宋体"/>
          <w:color w:val="000000"/>
          <w:sz w:val="24"/>
          <w:lang w:eastAsia="zh-Hans" w:bidi="ar"/>
        </w:rPr>
        <w:t>）乙方承诺对本合同的签署和履行，以及乙方作为当事人一方对与本合同有关的其他协议、承诺及文件的签署和履行，符合乙方的经营范围，已得到内部必要的授权，并且：(i)不违反、冲突或有悖于适用于乙方的任何协议、合同、判决、裁定、裁决、命令、法律、规则或政府规定；(ii)不违反或导致乙方违反其组织性文件或营业执照，或与之冲突；（iii）不违反或导致违反乙方签署的或必须遵守的任何协议或文件的条款、条件或规定，或与之冲突；（iv）不会导致在乙方财产或资产之上产生或设置任何担保债权或其他索赔，以致严重影响乙方履行本合同的能力。</w:t>
      </w:r>
    </w:p>
    <w:p>
      <w:pPr>
        <w:numPr>
          <w:ilvl w:val="255"/>
          <w:numId w:val="0"/>
        </w:numPr>
        <w:tabs>
          <w:tab w:val="left" w:pos="992"/>
          <w:tab w:val="left" w:pos="1418"/>
        </w:tabs>
        <w:spacing w:line="480" w:lineRule="exact"/>
        <w:ind w:firstLine="480"/>
        <w:outlineLvl w:val="0"/>
        <w:rPr>
          <w:rFonts w:ascii="宋体" w:hAnsi="宋体" w:cs="宋体"/>
          <w:color w:val="000000"/>
          <w:sz w:val="24"/>
          <w:lang w:eastAsia="zh-Hans" w:bidi="ar"/>
        </w:rPr>
      </w:pPr>
      <w:r>
        <w:rPr>
          <w:rFonts w:hint="eastAsia" w:ascii="宋体" w:hAnsi="宋体" w:cs="宋体"/>
          <w:color w:val="000000"/>
          <w:sz w:val="24"/>
          <w:lang w:eastAsia="zh-Hans" w:bidi="ar"/>
        </w:rPr>
        <w:t>（</w:t>
      </w:r>
      <w:r>
        <w:rPr>
          <w:rFonts w:ascii="宋体" w:hAnsi="宋体" w:cs="宋体"/>
          <w:color w:val="000000"/>
          <w:sz w:val="24"/>
          <w:lang w:eastAsia="zh-Hans" w:bidi="ar"/>
        </w:rPr>
        <w:t>3</w:t>
      </w:r>
      <w:r>
        <w:rPr>
          <w:rFonts w:hint="eastAsia" w:ascii="宋体" w:hAnsi="宋体" w:cs="宋体"/>
          <w:color w:val="000000"/>
          <w:sz w:val="24"/>
          <w:lang w:eastAsia="zh-Hans" w:bidi="ar"/>
        </w:rPr>
        <w:t>）签署本合同前，乙方已对本合同项下标的债权进行了充分的调查了解，明确知悉标的债权系不良资产，且不良资产投资存在较大风险，状况有可能发生变化，包括但不限于债权余额变动、相关法定期间届满、全部或部分减损或灭失、相关诉讼或仲裁进程变化等。甲方亦对标的债权清收的困难性和可回收性未作出任何承诺或保证，乙方对该等事实予以确认。乙方承诺，乙方自愿承担受让该等标的债权后可能承受的一切风险以及由该等风险所造成的一切损失或无法实现的预期利益。乙方均不以此为由，拒绝履行其在本合同项下的任何义务，且甲方亦无需对此承担任何责任，乙方同意按照标的债权之现状受让标的债权。</w:t>
      </w:r>
    </w:p>
    <w:p>
      <w:pPr>
        <w:numPr>
          <w:ilvl w:val="255"/>
          <w:numId w:val="0"/>
        </w:numPr>
        <w:tabs>
          <w:tab w:val="left" w:pos="992"/>
          <w:tab w:val="left" w:pos="1418"/>
        </w:tabs>
        <w:spacing w:line="480" w:lineRule="exact"/>
        <w:ind w:firstLine="480"/>
        <w:outlineLvl w:val="0"/>
        <w:rPr>
          <w:rFonts w:ascii="宋体" w:hAnsi="宋体" w:cs="宋体"/>
          <w:color w:val="000000"/>
          <w:sz w:val="24"/>
          <w:lang w:eastAsia="zh-Hans" w:bidi="ar"/>
        </w:rPr>
      </w:pPr>
      <w:r>
        <w:rPr>
          <w:rFonts w:hint="eastAsia" w:ascii="宋体" w:hAnsi="宋体" w:cs="宋体"/>
          <w:color w:val="000000"/>
          <w:sz w:val="24"/>
          <w:lang w:eastAsia="zh-Hans" w:bidi="ar"/>
        </w:rPr>
        <w:t>（</w:t>
      </w:r>
      <w:r>
        <w:rPr>
          <w:rFonts w:ascii="宋体" w:hAnsi="宋体" w:cs="宋体"/>
          <w:color w:val="000000"/>
          <w:sz w:val="24"/>
          <w:lang w:eastAsia="zh-Hans" w:bidi="ar"/>
        </w:rPr>
        <w:t>4</w:t>
      </w:r>
      <w:r>
        <w:rPr>
          <w:rFonts w:hint="eastAsia" w:ascii="宋体" w:hAnsi="宋体" w:cs="宋体"/>
          <w:color w:val="000000"/>
          <w:sz w:val="24"/>
          <w:lang w:eastAsia="zh-Hans" w:bidi="ar"/>
        </w:rPr>
        <w:t>）乙方同意并保证，如果标的债权项下存在能够追究甲方前手权利人任何法律责任的权利，乙方承诺自本合同签署之日起自动全部放弃该等权利，乙方及其后手不以任何方式向前手权利人及甲方主张本条项下已放弃的全部权利，或要求前手权利人或甲方承担与此有关的任何法律责任。</w:t>
      </w:r>
    </w:p>
    <w:p>
      <w:pPr>
        <w:numPr>
          <w:ilvl w:val="255"/>
          <w:numId w:val="0"/>
        </w:numPr>
        <w:tabs>
          <w:tab w:val="left" w:pos="992"/>
          <w:tab w:val="left" w:pos="1418"/>
        </w:tabs>
        <w:spacing w:line="480" w:lineRule="exact"/>
        <w:ind w:firstLine="480"/>
        <w:outlineLvl w:val="0"/>
        <w:rPr>
          <w:rFonts w:ascii="宋体" w:hAnsi="宋体" w:cs="宋体"/>
          <w:color w:val="000000"/>
          <w:sz w:val="24"/>
          <w:lang w:eastAsia="zh-Hans" w:bidi="ar"/>
        </w:rPr>
      </w:pPr>
      <w:r>
        <w:rPr>
          <w:rFonts w:hint="eastAsia" w:ascii="宋体" w:hAnsi="宋体" w:cs="宋体"/>
          <w:color w:val="000000"/>
          <w:sz w:val="24"/>
          <w:lang w:eastAsia="zh-Hans" w:bidi="ar"/>
        </w:rPr>
        <w:t>（</w:t>
      </w:r>
      <w:r>
        <w:rPr>
          <w:rFonts w:ascii="宋体" w:hAnsi="宋体" w:cs="宋体"/>
          <w:color w:val="000000"/>
          <w:sz w:val="24"/>
          <w:lang w:eastAsia="zh-Hans" w:bidi="ar"/>
        </w:rPr>
        <w:t>5</w:t>
      </w:r>
      <w:r>
        <w:rPr>
          <w:rFonts w:hint="eastAsia" w:ascii="宋体" w:hAnsi="宋体" w:cs="宋体"/>
          <w:color w:val="000000"/>
          <w:sz w:val="24"/>
          <w:lang w:eastAsia="zh-Hans" w:bidi="ar"/>
        </w:rPr>
        <w:t>）乙方签署本合同已经过充分的商业判断和考量，无任何显失公平或重大误解的情形。乙方不可撤销地承诺其将放弃以重大误解、显失公平或其他任何理由主张变更、撤销、解除本合同或减损本合同效力的其他任何权利。</w:t>
      </w:r>
    </w:p>
    <w:p>
      <w:pPr>
        <w:numPr>
          <w:ilvl w:val="255"/>
          <w:numId w:val="0"/>
        </w:numPr>
        <w:tabs>
          <w:tab w:val="left" w:pos="992"/>
          <w:tab w:val="left" w:pos="1418"/>
        </w:tabs>
        <w:spacing w:line="480" w:lineRule="exact"/>
        <w:ind w:firstLine="480"/>
        <w:outlineLvl w:val="0"/>
        <w:rPr>
          <w:rFonts w:ascii="宋体" w:hAnsi="宋体" w:cs="宋体"/>
          <w:color w:val="000000"/>
          <w:sz w:val="24"/>
          <w:lang w:eastAsia="zh-Hans" w:bidi="ar"/>
        </w:rPr>
      </w:pPr>
      <w:r>
        <w:rPr>
          <w:rFonts w:hint="eastAsia" w:ascii="宋体" w:hAnsi="宋体" w:cs="宋体"/>
          <w:color w:val="000000"/>
          <w:sz w:val="24"/>
          <w:lang w:eastAsia="zh-Hans" w:bidi="ar"/>
        </w:rPr>
        <w:t>（</w:t>
      </w:r>
      <w:r>
        <w:rPr>
          <w:rFonts w:ascii="宋体" w:hAnsi="宋体" w:cs="宋体"/>
          <w:color w:val="000000"/>
          <w:sz w:val="24"/>
          <w:lang w:eastAsia="zh-Hans" w:bidi="ar"/>
        </w:rPr>
        <w:t>6</w:t>
      </w:r>
      <w:r>
        <w:rPr>
          <w:rFonts w:hint="eastAsia" w:ascii="宋体" w:hAnsi="宋体" w:cs="宋体"/>
          <w:color w:val="000000"/>
          <w:sz w:val="24"/>
          <w:lang w:eastAsia="zh-Hans" w:bidi="ar"/>
        </w:rPr>
        <w:t>）乙方知悉，本合同约定的标的债权转让并不导致乙方可以自己名义享有或主张标的债权。乙方请求继续以甲方或前手债权人的名义主张权利的，甲方给予必要的配合，但乙方放弃因上述原因而要求解除本合同或要求赔偿的权利。</w:t>
      </w:r>
    </w:p>
    <w:p>
      <w:pPr>
        <w:numPr>
          <w:ilvl w:val="255"/>
          <w:numId w:val="0"/>
        </w:numPr>
        <w:tabs>
          <w:tab w:val="left" w:pos="992"/>
          <w:tab w:val="left" w:pos="1418"/>
        </w:tabs>
        <w:spacing w:line="480" w:lineRule="exact"/>
        <w:ind w:firstLine="480"/>
        <w:outlineLvl w:val="0"/>
        <w:rPr>
          <w:rFonts w:ascii="宋体" w:hAnsi="宋体" w:cs="宋体"/>
          <w:color w:val="000000"/>
          <w:sz w:val="24"/>
          <w:lang w:eastAsia="zh-Hans" w:bidi="ar"/>
        </w:rPr>
      </w:pPr>
      <w:r>
        <w:rPr>
          <w:rFonts w:hint="eastAsia" w:ascii="宋体" w:hAnsi="宋体" w:cs="宋体"/>
          <w:color w:val="000000"/>
          <w:sz w:val="24"/>
          <w:lang w:eastAsia="zh-Hans" w:bidi="ar"/>
        </w:rPr>
        <w:t>（</w:t>
      </w:r>
      <w:r>
        <w:rPr>
          <w:rFonts w:ascii="宋体" w:hAnsi="宋体" w:cs="宋体"/>
          <w:color w:val="000000"/>
          <w:sz w:val="24"/>
          <w:lang w:eastAsia="zh-Hans" w:bidi="ar"/>
        </w:rPr>
        <w:t>7</w:t>
      </w:r>
      <w:r>
        <w:rPr>
          <w:rFonts w:hint="eastAsia" w:ascii="宋体" w:hAnsi="宋体" w:cs="宋体"/>
          <w:color w:val="000000"/>
          <w:sz w:val="24"/>
          <w:lang w:eastAsia="zh-Hans" w:bidi="ar"/>
        </w:rPr>
        <w:t>）乙方为受让标的债权而向甲方支付的转让价款为乙方合法所有的资金。乙方不会因受让标的债权的资金来源不当而造成转让行为违规。</w:t>
      </w:r>
    </w:p>
    <w:p>
      <w:pPr>
        <w:numPr>
          <w:ilvl w:val="255"/>
          <w:numId w:val="0"/>
        </w:numPr>
        <w:tabs>
          <w:tab w:val="left" w:pos="992"/>
          <w:tab w:val="left" w:pos="1418"/>
        </w:tabs>
        <w:spacing w:line="480" w:lineRule="exact"/>
        <w:ind w:firstLine="480"/>
        <w:outlineLvl w:val="0"/>
        <w:rPr>
          <w:rFonts w:ascii="宋体" w:hAnsi="宋体" w:cs="宋体"/>
          <w:color w:val="000000"/>
          <w:sz w:val="24"/>
          <w:lang w:eastAsia="zh-Hans" w:bidi="ar"/>
        </w:rPr>
      </w:pPr>
      <w:r>
        <w:rPr>
          <w:rFonts w:hint="eastAsia" w:ascii="宋体" w:hAnsi="宋体" w:cs="宋体"/>
          <w:color w:val="000000"/>
          <w:sz w:val="24"/>
          <w:lang w:eastAsia="zh-Hans" w:bidi="ar"/>
        </w:rPr>
        <w:t>（</w:t>
      </w:r>
      <w:r>
        <w:rPr>
          <w:rFonts w:ascii="宋体" w:hAnsi="宋体" w:cs="宋体"/>
          <w:color w:val="000000"/>
          <w:sz w:val="24"/>
          <w:lang w:eastAsia="zh-Hans" w:bidi="ar"/>
        </w:rPr>
        <w:t>8</w:t>
      </w:r>
      <w:r>
        <w:rPr>
          <w:rFonts w:hint="eastAsia" w:ascii="宋体" w:hAnsi="宋体" w:cs="宋体"/>
          <w:color w:val="000000"/>
          <w:sz w:val="24"/>
          <w:lang w:eastAsia="zh-Hans" w:bidi="ar"/>
        </w:rPr>
        <w:t>）乙方保证严格按照相关法律、法规、政策的规定，主张和行使标的债权项下的任何权利，因乙方违法行使权利导致甲方利益受损的，乙方将赔偿甲方的全部损失以及因此所支付的费用。</w:t>
      </w:r>
    </w:p>
    <w:p>
      <w:pPr>
        <w:numPr>
          <w:ilvl w:val="255"/>
          <w:numId w:val="0"/>
        </w:numPr>
        <w:tabs>
          <w:tab w:val="left" w:pos="992"/>
          <w:tab w:val="left" w:pos="1418"/>
        </w:tabs>
        <w:spacing w:line="480" w:lineRule="exact"/>
        <w:ind w:firstLine="480"/>
        <w:outlineLvl w:val="0"/>
        <w:rPr>
          <w:rFonts w:ascii="宋体" w:hAnsi="宋体" w:cs="宋体"/>
          <w:color w:val="000000"/>
          <w:sz w:val="24"/>
        </w:rPr>
      </w:pPr>
      <w:r>
        <w:rPr>
          <w:rFonts w:hint="eastAsia" w:ascii="宋体" w:hAnsi="宋体" w:cs="宋体"/>
          <w:color w:val="000000"/>
          <w:sz w:val="24"/>
          <w:lang w:eastAsia="zh-Hans" w:bidi="ar"/>
        </w:rPr>
        <w:t>（</w:t>
      </w:r>
      <w:r>
        <w:rPr>
          <w:rFonts w:ascii="宋体" w:hAnsi="宋体" w:cs="宋体"/>
          <w:color w:val="000000"/>
          <w:sz w:val="24"/>
          <w:lang w:eastAsia="zh-Hans" w:bidi="ar"/>
        </w:rPr>
        <w:t>9</w:t>
      </w:r>
      <w:r>
        <w:rPr>
          <w:rFonts w:hint="eastAsia" w:ascii="宋体" w:hAnsi="宋体" w:cs="宋体"/>
          <w:color w:val="000000"/>
          <w:sz w:val="24"/>
          <w:lang w:eastAsia="zh-Hans" w:bidi="ar"/>
        </w:rPr>
        <w:t>）本合同一经乙方正式签署，即对乙方是合法、有效且有约束力的。</w:t>
      </w:r>
      <w:bookmarkEnd w:id="171"/>
    </w:p>
    <w:p>
      <w:pPr>
        <w:numPr>
          <w:ilvl w:val="0"/>
          <w:numId w:val="2"/>
        </w:numPr>
        <w:spacing w:line="480" w:lineRule="exact"/>
        <w:ind w:left="0" w:firstLine="480"/>
        <w:outlineLvl w:val="0"/>
        <w:rPr>
          <w:rFonts w:ascii="宋体" w:hAnsi="宋体" w:cs="宋体"/>
          <w:b/>
          <w:color w:val="000000"/>
          <w:sz w:val="24"/>
        </w:rPr>
      </w:pPr>
      <w:bookmarkStart w:id="194" w:name="_Toc154899923"/>
      <w:bookmarkEnd w:id="194"/>
      <w:bookmarkStart w:id="195" w:name="_Toc154899929"/>
      <w:bookmarkEnd w:id="195"/>
      <w:bookmarkStart w:id="196" w:name="_Toc154899922"/>
      <w:bookmarkEnd w:id="196"/>
      <w:bookmarkStart w:id="197" w:name="_Toc138173588"/>
      <w:bookmarkEnd w:id="197"/>
      <w:bookmarkStart w:id="198" w:name="_Toc138173587"/>
      <w:bookmarkEnd w:id="198"/>
      <w:bookmarkStart w:id="199" w:name="_Toc154899836"/>
      <w:bookmarkEnd w:id="199"/>
      <w:bookmarkStart w:id="200" w:name="_Toc154899841"/>
      <w:bookmarkEnd w:id="200"/>
      <w:bookmarkStart w:id="201" w:name="_Toc154899839"/>
      <w:bookmarkEnd w:id="201"/>
      <w:bookmarkStart w:id="202" w:name="_Toc154899924"/>
      <w:bookmarkEnd w:id="202"/>
      <w:bookmarkStart w:id="203" w:name="_Toc154899920"/>
      <w:bookmarkEnd w:id="203"/>
      <w:bookmarkStart w:id="204" w:name="_Toc138173671"/>
      <w:bookmarkEnd w:id="204"/>
      <w:bookmarkStart w:id="205" w:name="_Toc154899835"/>
      <w:bookmarkEnd w:id="205"/>
      <w:bookmarkStart w:id="206" w:name="_Toc138173673"/>
      <w:bookmarkEnd w:id="206"/>
      <w:bookmarkStart w:id="207" w:name="_Toc138173586"/>
      <w:bookmarkEnd w:id="207"/>
      <w:bookmarkStart w:id="208" w:name="_Toc154899837"/>
      <w:bookmarkEnd w:id="208"/>
      <w:bookmarkStart w:id="209" w:name="_Toc154899921"/>
      <w:bookmarkEnd w:id="209"/>
      <w:bookmarkStart w:id="210" w:name="_Toc138173672"/>
      <w:bookmarkEnd w:id="210"/>
      <w:bookmarkStart w:id="211" w:name="_Toc154899838"/>
      <w:bookmarkEnd w:id="211"/>
      <w:bookmarkStart w:id="212" w:name="_Toc154899919"/>
      <w:bookmarkEnd w:id="212"/>
      <w:bookmarkStart w:id="213" w:name="_Toc154899925"/>
      <w:bookmarkEnd w:id="213"/>
      <w:bookmarkStart w:id="214" w:name="_Toc138173585"/>
      <w:bookmarkEnd w:id="214"/>
      <w:bookmarkStart w:id="215" w:name="_Toc154899843"/>
      <w:bookmarkEnd w:id="215"/>
      <w:bookmarkStart w:id="216" w:name="_Toc138173670"/>
      <w:bookmarkEnd w:id="216"/>
      <w:bookmarkStart w:id="217" w:name="_Toc154899834"/>
      <w:bookmarkEnd w:id="217"/>
      <w:bookmarkStart w:id="218" w:name="_Toc154899927"/>
      <w:bookmarkEnd w:id="218"/>
      <w:bookmarkStart w:id="219" w:name="_Toc154899928"/>
      <w:bookmarkEnd w:id="219"/>
      <w:bookmarkStart w:id="220" w:name="_Toc154899840"/>
      <w:bookmarkEnd w:id="220"/>
      <w:bookmarkStart w:id="221" w:name="_Toc260836012"/>
      <w:bookmarkEnd w:id="221"/>
      <w:bookmarkStart w:id="222" w:name="_Toc154899833"/>
      <w:bookmarkEnd w:id="222"/>
      <w:bookmarkStart w:id="223" w:name="_Toc154899842"/>
      <w:bookmarkEnd w:id="223"/>
      <w:bookmarkStart w:id="224" w:name="_Toc154899926"/>
      <w:bookmarkEnd w:id="224"/>
      <w:bookmarkStart w:id="225" w:name="_Toc174767292"/>
      <w:bookmarkStart w:id="226" w:name="_Toc379873866"/>
      <w:bookmarkStart w:id="227" w:name="_Toc155085483"/>
      <w:r>
        <w:rPr>
          <w:rFonts w:hint="eastAsia" w:ascii="宋体" w:hAnsi="宋体" w:cs="宋体"/>
          <w:b/>
          <w:color w:val="000000"/>
          <w:sz w:val="24"/>
          <w:lang w:bidi="ar"/>
        </w:rPr>
        <w:t>税费</w:t>
      </w:r>
      <w:bookmarkEnd w:id="225"/>
      <w:bookmarkEnd w:id="226"/>
      <w:bookmarkEnd w:id="227"/>
    </w:p>
    <w:p>
      <w:pPr>
        <w:spacing w:line="480" w:lineRule="exact"/>
        <w:ind w:firstLine="480"/>
        <w:rPr>
          <w:rFonts w:ascii="宋体" w:hAnsi="宋体" w:cs="宋体"/>
          <w:color w:val="000000"/>
          <w:sz w:val="24"/>
        </w:rPr>
      </w:pPr>
      <w:r>
        <w:rPr>
          <w:rFonts w:hint="eastAsia" w:ascii="宋体" w:hAnsi="宋体" w:cs="宋体"/>
          <w:color w:val="000000"/>
          <w:sz w:val="24"/>
          <w:lang w:bidi="ar"/>
        </w:rPr>
        <w:t>除本合同另有约定外，本合同各方应依国家有关规定各自承担并缴纳因本合同的签署和履行而产生的税费。</w:t>
      </w:r>
    </w:p>
    <w:p>
      <w:pPr>
        <w:numPr>
          <w:ilvl w:val="0"/>
          <w:numId w:val="2"/>
        </w:numPr>
        <w:spacing w:line="480" w:lineRule="exact"/>
        <w:ind w:left="0" w:firstLine="480"/>
        <w:outlineLvl w:val="0"/>
        <w:rPr>
          <w:rFonts w:ascii="宋体" w:hAnsi="宋体" w:cs="宋体"/>
          <w:b/>
          <w:color w:val="000000"/>
          <w:sz w:val="24"/>
        </w:rPr>
      </w:pPr>
      <w:bookmarkStart w:id="228" w:name="_Toc260836014"/>
      <w:bookmarkEnd w:id="228"/>
      <w:bookmarkStart w:id="229" w:name="_Toc174767293"/>
      <w:bookmarkStart w:id="230" w:name="_Toc379873867"/>
      <w:r>
        <w:rPr>
          <w:rFonts w:hint="eastAsia" w:ascii="宋体" w:hAnsi="宋体" w:cs="宋体"/>
          <w:b/>
          <w:color w:val="000000"/>
          <w:sz w:val="24"/>
          <w:lang w:bidi="ar"/>
        </w:rPr>
        <w:t>违约责任</w:t>
      </w:r>
      <w:bookmarkEnd w:id="229"/>
      <w:bookmarkEnd w:id="230"/>
    </w:p>
    <w:p>
      <w:pPr>
        <w:numPr>
          <w:ilvl w:val="1"/>
          <w:numId w:val="2"/>
        </w:numPr>
        <w:spacing w:line="480" w:lineRule="exact"/>
        <w:ind w:left="0" w:firstLine="480"/>
        <w:rPr>
          <w:rFonts w:ascii="宋体" w:hAnsi="宋体" w:cs="宋体"/>
          <w:color w:val="000000"/>
          <w:sz w:val="24"/>
        </w:rPr>
      </w:pPr>
      <w:bookmarkStart w:id="231" w:name="_Toc174510081"/>
      <w:r>
        <w:rPr>
          <w:rFonts w:hint="eastAsia" w:ascii="宋体" w:hAnsi="宋体" w:cs="宋体"/>
          <w:color w:val="000000"/>
          <w:sz w:val="24"/>
          <w:lang w:bidi="ar"/>
        </w:rPr>
        <w:t>合同任何一方未履行或未适当履行其在本合同项下的义务，视为该方违约，违约方应赔偿因其违约而对其他方造成的全部损失，其他方有权要求违约方采取包括但不限于实际履行、赔偿损失等补救措施。</w:t>
      </w:r>
      <w:bookmarkEnd w:id="231"/>
    </w:p>
    <w:p>
      <w:pPr>
        <w:numPr>
          <w:ilvl w:val="1"/>
          <w:numId w:val="2"/>
        </w:numPr>
        <w:spacing w:line="480" w:lineRule="exact"/>
        <w:ind w:left="0" w:firstLine="480"/>
        <w:rPr>
          <w:rFonts w:ascii="宋体" w:hAnsi="宋体" w:cs="宋体"/>
          <w:color w:val="000000"/>
          <w:sz w:val="24"/>
        </w:rPr>
      </w:pPr>
      <w:r>
        <w:rPr>
          <w:rFonts w:hint="eastAsia" w:ascii="宋体" w:hAnsi="宋体" w:cs="宋体"/>
          <w:color w:val="000000"/>
          <w:sz w:val="24"/>
          <w:lang w:bidi="ar"/>
        </w:rPr>
        <w:t>乙方违反合同第5.2.3条约定的，擅自将标的债权全部或部分转让且未得到甲方追认的，或擅自在标的债权上设定任何第三方权利（包括但不限于质押），则甲方作为债权人对乙方的转让行为或质押行为有权不予认可，并依照本合同约定执行，仅对乙方负有本合同项下合同义务。同时，乙方应向甲方支付转让价款总额的【</w:t>
      </w:r>
      <w:r>
        <w:rPr>
          <w:rFonts w:hint="eastAsia" w:ascii="宋体" w:hAnsi="宋体" w:cs="宋体"/>
          <w:color w:val="000000"/>
          <w:sz w:val="24"/>
          <w:lang w:val="en-US" w:eastAsia="zh-CN" w:bidi="ar"/>
        </w:rPr>
        <w:t>24</w:t>
      </w:r>
      <w:r>
        <w:rPr>
          <w:rFonts w:hint="eastAsia" w:ascii="宋体" w:hAnsi="宋体" w:cs="宋体"/>
          <w:color w:val="000000"/>
          <w:sz w:val="24"/>
          <w:lang w:bidi="ar"/>
        </w:rPr>
        <w:t>】%作为违约金，该违约金不足以弥补甲方损失的，乙方应另行赔偿。</w:t>
      </w:r>
    </w:p>
    <w:p>
      <w:pPr>
        <w:numPr>
          <w:ilvl w:val="1"/>
          <w:numId w:val="2"/>
        </w:numPr>
        <w:spacing w:line="480" w:lineRule="exact"/>
        <w:ind w:left="0" w:firstLine="480"/>
        <w:rPr>
          <w:rFonts w:ascii="宋体" w:hAnsi="宋体" w:cs="宋体"/>
          <w:color w:val="000000"/>
          <w:sz w:val="24"/>
        </w:rPr>
      </w:pPr>
      <w:r>
        <w:rPr>
          <w:rFonts w:hint="eastAsia" w:ascii="宋体" w:hAnsi="宋体" w:cs="宋体"/>
          <w:color w:val="000000"/>
          <w:sz w:val="24"/>
          <w:lang w:bidi="ar"/>
        </w:rPr>
        <w:t>乙方未按本合同约定按时足额支付任何一期资金占用费或转让价款或其它应付款项的，自</w:t>
      </w:r>
      <w:bookmarkStart w:id="232" w:name="_Hlk529972371"/>
      <w:r>
        <w:rPr>
          <w:rFonts w:hint="eastAsia" w:ascii="宋体" w:hAnsi="宋体" w:cs="宋体"/>
          <w:color w:val="000000"/>
          <w:sz w:val="24"/>
          <w:lang w:bidi="ar"/>
        </w:rPr>
        <w:t>逾期</w:t>
      </w:r>
      <w:bookmarkEnd w:id="232"/>
      <w:r>
        <w:rPr>
          <w:rFonts w:hint="eastAsia" w:ascii="宋体" w:hAnsi="宋体" w:cs="宋体"/>
          <w:color w:val="000000"/>
          <w:sz w:val="24"/>
          <w:lang w:bidi="ar"/>
        </w:rPr>
        <w:t>或违约之日起，未付转让价款的资金占用费率上浮至24%/年，乙方应按上浮后的资金占用费率支付资金占用费直至违约行为得到补正，且甲方有权单方宣布所有转让价款提前到期。</w:t>
      </w:r>
    </w:p>
    <w:p>
      <w:pPr>
        <w:numPr>
          <w:ilvl w:val="1"/>
          <w:numId w:val="2"/>
        </w:numPr>
        <w:spacing w:line="480" w:lineRule="exact"/>
        <w:ind w:left="0" w:firstLine="480"/>
        <w:rPr>
          <w:rFonts w:ascii="宋体" w:hAnsi="宋体" w:cs="宋体"/>
          <w:color w:val="000000"/>
          <w:sz w:val="24"/>
        </w:rPr>
      </w:pPr>
      <w:r>
        <w:rPr>
          <w:rFonts w:hint="eastAsia" w:ascii="宋体" w:hAnsi="宋体" w:cs="宋体"/>
          <w:color w:val="000000"/>
          <w:sz w:val="24"/>
          <w:lang w:bidi="ar"/>
        </w:rPr>
        <w:t>转让价款到期（含宣布转让价款提前到期情形）且乙方未按本合同约定支付转让价款、资金占用费、违约金等应付款项的，甲方有权</w:t>
      </w:r>
      <w:bookmarkStart w:id="233" w:name="_Hlk529541420"/>
      <w:r>
        <w:rPr>
          <w:rFonts w:ascii="宋体" w:hAnsi="宋体" w:cs="宋体"/>
          <w:color w:val="000000"/>
          <w:sz w:val="24"/>
          <w:lang w:bidi="ar"/>
        </w:rPr>
        <w:t>采取</w:t>
      </w:r>
      <w:r>
        <w:rPr>
          <w:rFonts w:hint="eastAsia" w:ascii="宋体" w:hAnsi="宋体" w:cs="宋体"/>
          <w:color w:val="000000"/>
          <w:sz w:val="24"/>
          <w:lang w:bidi="ar"/>
        </w:rPr>
        <w:t>以下措施：</w:t>
      </w:r>
    </w:p>
    <w:p>
      <w:pPr>
        <w:tabs>
          <w:tab w:val="left" w:pos="992"/>
        </w:tabs>
        <w:spacing w:line="480" w:lineRule="exact"/>
        <w:ind w:firstLine="480"/>
        <w:rPr>
          <w:rFonts w:ascii="宋体" w:hAnsi="宋体" w:cs="宋体"/>
          <w:color w:val="000000"/>
          <w:sz w:val="24"/>
        </w:rPr>
      </w:pPr>
      <w:r>
        <w:rPr>
          <w:rFonts w:hint="eastAsia" w:ascii="宋体" w:hAnsi="宋体" w:cs="宋体"/>
          <w:color w:val="000000"/>
          <w:sz w:val="24"/>
          <w:lang w:bidi="ar"/>
        </w:rPr>
        <w:t>（1）自转让价款到期日（含提前到期日）起将标的债</w:t>
      </w:r>
      <w:r>
        <w:rPr>
          <w:rFonts w:hint="eastAsia" w:ascii="宋体" w:hAnsi="宋体" w:cs="宋体"/>
          <w:sz w:val="24"/>
          <w:lang w:bidi="ar"/>
        </w:rPr>
        <w:t>权</w:t>
      </w:r>
      <w:bookmarkEnd w:id="233"/>
      <w:r>
        <w:rPr>
          <w:rFonts w:hint="eastAsia" w:ascii="宋体" w:hAnsi="宋体" w:cs="宋体"/>
          <w:sz w:val="24"/>
          <w:lang w:bidi="ar"/>
        </w:rPr>
        <w:t>以</w:t>
      </w:r>
      <w:r>
        <w:rPr>
          <w:rFonts w:hint="eastAsia" w:ascii="宋体" w:hAnsi="宋体" w:cs="宋体"/>
          <w:b/>
          <w:sz w:val="24"/>
          <w:lang w:bidi="ar"/>
        </w:rPr>
        <w:t>首次公开挂牌价</w:t>
      </w:r>
      <w:r>
        <w:rPr>
          <w:rFonts w:hint="eastAsia" w:ascii="宋体" w:hAnsi="宋体" w:cs="宋体"/>
          <w:sz w:val="24"/>
          <w:lang w:bidi="ar"/>
        </w:rPr>
        <w:t>另行公开挂牌处置，</w:t>
      </w:r>
      <w:r>
        <w:rPr>
          <w:rFonts w:hint="eastAsia" w:ascii="宋体" w:hAnsi="宋体" w:cs="宋体"/>
          <w:b/>
          <w:sz w:val="24"/>
          <w:lang w:bidi="ar"/>
        </w:rPr>
        <w:t>首次公开挂牌价</w:t>
      </w:r>
      <w:r>
        <w:rPr>
          <w:rFonts w:hint="eastAsia" w:ascii="宋体" w:hAnsi="宋体" w:cs="宋体"/>
          <w:sz w:val="24"/>
          <w:lang w:bidi="ar"/>
        </w:rPr>
        <w:t>为计算至挂牌日</w:t>
      </w:r>
      <w:r>
        <w:rPr>
          <w:rFonts w:hint="eastAsia" w:ascii="宋体" w:hAnsi="宋体" w:cs="宋体"/>
          <w:color w:val="000000"/>
          <w:sz w:val="24"/>
          <w:lang w:bidi="ar"/>
        </w:rPr>
        <w:t>的【处置费用、违约金、赔偿金、资金占用费、标的债权转让价款】之总和。</w:t>
      </w:r>
    </w:p>
    <w:p>
      <w:pPr>
        <w:tabs>
          <w:tab w:val="left" w:pos="992"/>
        </w:tabs>
        <w:spacing w:line="480" w:lineRule="exact"/>
        <w:ind w:firstLine="480"/>
        <w:rPr>
          <w:rFonts w:ascii="宋体" w:hAnsi="宋体" w:cs="宋体"/>
          <w:color w:val="000000"/>
          <w:sz w:val="24"/>
          <w:lang w:bidi="ar"/>
        </w:rPr>
      </w:pPr>
      <w:r>
        <w:rPr>
          <w:rFonts w:hint="eastAsia" w:ascii="宋体" w:hAnsi="宋体" w:cs="宋体"/>
          <w:color w:val="000000"/>
          <w:sz w:val="24"/>
          <w:lang w:bidi="ar"/>
        </w:rPr>
        <w:t>为保障乙方的权益，甲方给予乙方一定期限的优先购买权，即乙方自转让价款到期之日起（含提前到期之日）六十个自然日内，乙方可自行或指定第三方以</w:t>
      </w:r>
      <w:r>
        <w:rPr>
          <w:rFonts w:hint="eastAsia" w:ascii="宋体" w:hAnsi="宋体" w:cs="宋体"/>
          <w:b/>
          <w:color w:val="000000"/>
          <w:sz w:val="24"/>
          <w:lang w:bidi="ar"/>
        </w:rPr>
        <w:t>指定价格</w:t>
      </w:r>
      <w:r>
        <w:rPr>
          <w:rFonts w:hint="eastAsia" w:ascii="宋体" w:hAnsi="宋体" w:cs="宋体"/>
          <w:color w:val="000000"/>
          <w:sz w:val="24"/>
          <w:lang w:bidi="ar"/>
        </w:rPr>
        <w:t>为对价并一次性支付的方式优先受标的债权，</w:t>
      </w:r>
      <w:r>
        <w:rPr>
          <w:rFonts w:hint="eastAsia" w:ascii="宋体" w:hAnsi="宋体" w:cs="宋体"/>
          <w:b/>
          <w:color w:val="000000"/>
          <w:sz w:val="24"/>
          <w:lang w:bidi="ar"/>
        </w:rPr>
        <w:t>指定价格</w:t>
      </w:r>
      <w:r>
        <w:rPr>
          <w:rFonts w:hint="eastAsia" w:ascii="宋体" w:hAnsi="宋体" w:cs="宋体"/>
          <w:color w:val="000000"/>
          <w:sz w:val="24"/>
          <w:lang w:bidi="ar"/>
        </w:rPr>
        <w:t>不低于计算至受让日的</w:t>
      </w:r>
      <w:r>
        <w:rPr>
          <w:rFonts w:hint="eastAsia" w:ascii="宋体" w:hAnsi="宋体" w:cs="宋体"/>
          <w:b/>
          <w:color w:val="000000"/>
          <w:sz w:val="24"/>
          <w:lang w:bidi="ar"/>
        </w:rPr>
        <w:t>【处置费用、违约金</w:t>
      </w:r>
      <w:bookmarkStart w:id="234" w:name="_Hlk529547789"/>
      <w:r>
        <w:rPr>
          <w:rFonts w:hint="eastAsia" w:ascii="宋体" w:hAnsi="宋体" w:cs="宋体"/>
          <w:b/>
          <w:color w:val="000000"/>
          <w:sz w:val="24"/>
          <w:lang w:bidi="ar"/>
        </w:rPr>
        <w:t>、赔偿金</w:t>
      </w:r>
      <w:bookmarkEnd w:id="234"/>
      <w:r>
        <w:rPr>
          <w:rFonts w:hint="eastAsia" w:ascii="宋体" w:hAnsi="宋体" w:cs="宋体"/>
          <w:b/>
          <w:color w:val="000000"/>
          <w:sz w:val="24"/>
          <w:lang w:bidi="ar"/>
        </w:rPr>
        <w:t>、资金占用费、标的债权转让价款】之总和</w:t>
      </w:r>
      <w:r>
        <w:rPr>
          <w:rFonts w:hint="eastAsia" w:ascii="宋体" w:hAnsi="宋体" w:cs="宋体"/>
          <w:color w:val="000000"/>
          <w:sz w:val="24"/>
          <w:lang w:bidi="ar"/>
        </w:rPr>
        <w:t>。</w:t>
      </w:r>
    </w:p>
    <w:p>
      <w:pPr>
        <w:tabs>
          <w:tab w:val="left" w:pos="992"/>
        </w:tabs>
        <w:spacing w:line="480" w:lineRule="exact"/>
        <w:ind w:firstLine="480"/>
        <w:rPr>
          <w:rFonts w:ascii="宋体" w:hAnsi="宋体" w:cs="宋体"/>
          <w:color w:val="000000"/>
          <w:sz w:val="24"/>
        </w:rPr>
      </w:pPr>
      <w:r>
        <w:rPr>
          <w:rFonts w:hint="eastAsia" w:ascii="宋体" w:hAnsi="宋体" w:cs="宋体"/>
          <w:color w:val="000000"/>
          <w:sz w:val="24"/>
          <w:lang w:bidi="ar"/>
        </w:rPr>
        <w:t>（2）甲方自行通过非转让标的债权的方式进行清收。</w:t>
      </w:r>
    </w:p>
    <w:p>
      <w:pPr>
        <w:numPr>
          <w:ilvl w:val="1"/>
          <w:numId w:val="2"/>
        </w:numPr>
        <w:spacing w:line="480" w:lineRule="exact"/>
        <w:ind w:left="0" w:firstLine="480"/>
        <w:rPr>
          <w:rFonts w:ascii="宋体" w:hAnsi="宋体" w:cs="宋体"/>
          <w:color w:val="000000"/>
          <w:sz w:val="24"/>
        </w:rPr>
      </w:pPr>
      <w:r>
        <w:rPr>
          <w:rFonts w:hint="eastAsia" w:ascii="宋体" w:hAnsi="宋体" w:cs="宋体"/>
          <w:color w:val="000000"/>
          <w:sz w:val="24"/>
          <w:lang w:bidi="ar"/>
        </w:rPr>
        <w:t>乙方或其指定第三方未按9.4条第（1）项约定受让标的债权，甲方有权直接将标的债权以</w:t>
      </w:r>
      <w:r>
        <w:rPr>
          <w:rFonts w:hint="eastAsia" w:ascii="宋体" w:hAnsi="宋体" w:cs="宋体"/>
          <w:b/>
          <w:color w:val="000000"/>
          <w:sz w:val="24"/>
          <w:lang w:bidi="ar"/>
        </w:rPr>
        <w:t>首次公开挂牌价</w:t>
      </w:r>
      <w:r>
        <w:rPr>
          <w:rFonts w:hint="eastAsia" w:ascii="宋体" w:hAnsi="宋体" w:cs="宋体"/>
          <w:color w:val="000000"/>
          <w:sz w:val="24"/>
          <w:lang w:bidi="ar"/>
        </w:rPr>
        <w:t>在拍卖平台公开挂牌转让，如标的债权挂牌流拍的，则甲方有权直接以前次公开挂牌价格的80%继续挂牌拍卖，以此类推直至标的债权成交。</w:t>
      </w:r>
    </w:p>
    <w:p>
      <w:pPr>
        <w:numPr>
          <w:ilvl w:val="1"/>
          <w:numId w:val="2"/>
        </w:numPr>
        <w:spacing w:line="480" w:lineRule="exact"/>
        <w:ind w:left="0" w:firstLine="480"/>
        <w:rPr>
          <w:rFonts w:ascii="宋体" w:hAnsi="宋体" w:cs="宋体"/>
          <w:color w:val="000000"/>
          <w:sz w:val="24"/>
        </w:rPr>
      </w:pPr>
      <w:r>
        <w:rPr>
          <w:rFonts w:hint="eastAsia" w:ascii="宋体" w:hAnsi="宋体" w:cs="宋体"/>
          <w:color w:val="000000"/>
          <w:sz w:val="24"/>
          <w:lang w:bidi="ar"/>
        </w:rPr>
        <w:t>甲方公开挂牌处置标的债权或自行清收所得回款按照以下顺序用于清偿或支付乙方在本合同项下的所有</w:t>
      </w:r>
      <w:bookmarkStart w:id="235" w:name="_Hlk529974400"/>
      <w:r>
        <w:rPr>
          <w:rFonts w:hint="eastAsia" w:ascii="宋体" w:hAnsi="宋体" w:cs="宋体"/>
          <w:color w:val="000000"/>
          <w:sz w:val="24"/>
          <w:lang w:bidi="ar"/>
        </w:rPr>
        <w:t>未付款项</w:t>
      </w:r>
      <w:bookmarkEnd w:id="235"/>
      <w:r>
        <w:rPr>
          <w:rFonts w:hint="eastAsia" w:ascii="宋体" w:hAnsi="宋体" w:cs="宋体"/>
          <w:color w:val="000000"/>
          <w:sz w:val="24"/>
          <w:lang w:bidi="ar"/>
        </w:rPr>
        <w:t>：</w:t>
      </w:r>
    </w:p>
    <w:p>
      <w:pPr>
        <w:numPr>
          <w:ilvl w:val="0"/>
          <w:numId w:val="3"/>
        </w:numPr>
        <w:tabs>
          <w:tab w:val="left" w:pos="992"/>
        </w:tabs>
        <w:spacing w:line="480" w:lineRule="exact"/>
        <w:ind w:left="0" w:firstLine="480"/>
        <w:rPr>
          <w:rFonts w:ascii="宋体" w:hAnsi="宋体" w:cs="宋体"/>
          <w:color w:val="000000"/>
          <w:sz w:val="24"/>
        </w:rPr>
      </w:pPr>
      <w:r>
        <w:rPr>
          <w:rFonts w:hint="eastAsia" w:ascii="宋体" w:hAnsi="宋体" w:cs="宋体"/>
          <w:color w:val="000000"/>
          <w:sz w:val="24"/>
          <w:lang w:bidi="ar"/>
        </w:rPr>
        <w:t>本合同项下乙方应当承担的处置费用、违约金、赔偿金；</w:t>
      </w:r>
    </w:p>
    <w:p>
      <w:pPr>
        <w:numPr>
          <w:ilvl w:val="0"/>
          <w:numId w:val="3"/>
        </w:numPr>
        <w:tabs>
          <w:tab w:val="left" w:pos="992"/>
        </w:tabs>
        <w:spacing w:line="480" w:lineRule="exact"/>
        <w:ind w:left="0" w:firstLine="480"/>
        <w:rPr>
          <w:rFonts w:ascii="宋体" w:hAnsi="宋体" w:cs="宋体"/>
          <w:color w:val="000000"/>
          <w:sz w:val="24"/>
        </w:rPr>
      </w:pPr>
      <w:r>
        <w:rPr>
          <w:rFonts w:hint="eastAsia" w:ascii="宋体" w:hAnsi="宋体" w:cs="宋体"/>
          <w:color w:val="000000"/>
          <w:sz w:val="24"/>
          <w:lang w:bidi="ar"/>
        </w:rPr>
        <w:t xml:space="preserve">乙方应付未付的资金占用费（含逾期或违约之日起上浮至24%/年计算的资金占用费）； </w:t>
      </w:r>
    </w:p>
    <w:p>
      <w:pPr>
        <w:numPr>
          <w:ilvl w:val="0"/>
          <w:numId w:val="3"/>
        </w:numPr>
        <w:tabs>
          <w:tab w:val="left" w:pos="992"/>
        </w:tabs>
        <w:spacing w:line="480" w:lineRule="exact"/>
        <w:ind w:left="0" w:firstLine="480"/>
        <w:rPr>
          <w:rFonts w:ascii="宋体" w:hAnsi="宋体" w:cs="宋体"/>
          <w:color w:val="000000"/>
          <w:sz w:val="24"/>
        </w:rPr>
      </w:pPr>
      <w:r>
        <w:rPr>
          <w:rFonts w:hint="eastAsia" w:ascii="宋体" w:hAnsi="宋体" w:cs="宋体"/>
          <w:color w:val="000000"/>
          <w:sz w:val="24"/>
          <w:lang w:bidi="ar"/>
        </w:rPr>
        <w:t>乙方应付未付的剩余标的债权转让价款。</w:t>
      </w:r>
    </w:p>
    <w:p>
      <w:pPr>
        <w:tabs>
          <w:tab w:val="left" w:pos="992"/>
        </w:tabs>
        <w:spacing w:line="480" w:lineRule="exact"/>
        <w:ind w:firstLine="480"/>
        <w:rPr>
          <w:rFonts w:ascii="宋体" w:hAnsi="宋体" w:cs="宋体"/>
          <w:color w:val="000000"/>
          <w:sz w:val="24"/>
          <w:lang w:bidi="ar"/>
        </w:rPr>
      </w:pPr>
      <w:r>
        <w:rPr>
          <w:rFonts w:hint="eastAsia" w:ascii="宋体" w:hAnsi="宋体" w:cs="宋体"/>
          <w:color w:val="000000"/>
          <w:sz w:val="24"/>
          <w:lang w:bidi="ar"/>
        </w:rPr>
        <w:t>甲方另行处置所得回款清偿乙方上述未付款项后，如有余额甲方于实际收到款项后十个工作日内支付给乙方；另行处置所得回款不足以清偿上述未付款项的，乙方应当在处置回款到达甲方账号之日起五个工作日内另行补足或赔偿。</w:t>
      </w:r>
    </w:p>
    <w:p>
      <w:pPr>
        <w:tabs>
          <w:tab w:val="left" w:pos="992"/>
        </w:tabs>
        <w:spacing w:line="480" w:lineRule="exact"/>
        <w:ind w:firstLine="480"/>
        <w:rPr>
          <w:rFonts w:ascii="宋体" w:hAnsi="宋体" w:cs="宋体"/>
          <w:color w:val="000000"/>
          <w:sz w:val="24"/>
        </w:rPr>
      </w:pPr>
      <w:r>
        <w:rPr>
          <w:rFonts w:hint="eastAsia" w:ascii="宋体" w:hAnsi="宋体" w:cs="宋体"/>
          <w:b/>
          <w:color w:val="000000"/>
          <w:sz w:val="24"/>
          <w:lang w:bidi="ar"/>
        </w:rPr>
        <w:t>9.</w:t>
      </w:r>
      <w:r>
        <w:rPr>
          <w:rFonts w:ascii="宋体" w:hAnsi="宋体" w:cs="宋体"/>
          <w:b/>
          <w:color w:val="000000"/>
          <w:sz w:val="24"/>
          <w:lang w:bidi="ar"/>
        </w:rPr>
        <w:t>7</w:t>
      </w:r>
      <w:r>
        <w:rPr>
          <w:rFonts w:hint="eastAsia" w:ascii="宋体" w:hAnsi="宋体" w:cs="宋体"/>
          <w:color w:val="000000"/>
          <w:sz w:val="24"/>
          <w:lang w:bidi="ar"/>
        </w:rPr>
        <w:t>本合同系金融不良资产交易合同，乙方明确清楚知悉金融不良资产交易的处置回款周期对于甲方产生的机会成本流失、资金占用费、人力、时间等无形损失的影响，乙方自愿承担该金融产品交易的投资风险。本合同已经双方充分协商签订，乙方对于合同约定的违约责任计算方式予以认可并明确自愿放弃违约金过高的抗辩权，不得以甲方实际损失等任何理由主张违约金的减免。</w:t>
      </w:r>
    </w:p>
    <w:p>
      <w:pPr>
        <w:spacing w:line="480" w:lineRule="exact"/>
        <w:ind w:firstLine="480"/>
        <w:rPr>
          <w:rFonts w:ascii="宋体" w:hAnsi="宋体" w:cs="宋体"/>
          <w:color w:val="000000"/>
          <w:sz w:val="24"/>
        </w:rPr>
      </w:pPr>
      <w:bookmarkStart w:id="236" w:name="_Hlk530043282"/>
      <w:r>
        <w:rPr>
          <w:rFonts w:hint="eastAsia" w:ascii="宋体" w:hAnsi="宋体" w:cs="宋体"/>
          <w:b/>
          <w:color w:val="000000"/>
          <w:sz w:val="24"/>
          <w:lang w:bidi="ar"/>
        </w:rPr>
        <w:t>9.</w:t>
      </w:r>
      <w:r>
        <w:rPr>
          <w:rFonts w:ascii="宋体" w:hAnsi="宋体" w:cs="宋体"/>
          <w:b/>
          <w:color w:val="000000"/>
          <w:sz w:val="24"/>
          <w:lang w:bidi="ar"/>
        </w:rPr>
        <w:t>8</w:t>
      </w:r>
      <w:r>
        <w:rPr>
          <w:rFonts w:hint="eastAsia" w:ascii="宋体" w:hAnsi="宋体" w:cs="宋体"/>
          <w:color w:val="000000"/>
          <w:sz w:val="24"/>
          <w:lang w:bidi="ar"/>
        </w:rPr>
        <w:t>乙方违约致使甲方采取诉讼、仲裁等方式实现合同约定权利的，乙方应当承担甲方为此支付的诉讼费、仲裁费、保全费、保全担保费/保全保险费、通知费、催告费、律师费、查询费、差旅费、鉴定费、公证费、拍卖费、评估费、辅拍机构服务费、执行费等实现合同约定权利的费用。</w:t>
      </w:r>
      <w:bookmarkEnd w:id="236"/>
    </w:p>
    <w:p>
      <w:pPr>
        <w:numPr>
          <w:ilvl w:val="0"/>
          <w:numId w:val="2"/>
        </w:numPr>
        <w:spacing w:line="480" w:lineRule="exact"/>
        <w:ind w:left="0" w:firstLine="480"/>
        <w:outlineLvl w:val="0"/>
        <w:rPr>
          <w:rFonts w:ascii="宋体" w:hAnsi="宋体" w:cs="宋体"/>
          <w:b/>
          <w:color w:val="000000"/>
          <w:sz w:val="24"/>
        </w:rPr>
      </w:pPr>
      <w:bookmarkStart w:id="237" w:name="_Toc260836016"/>
      <w:bookmarkEnd w:id="237"/>
      <w:bookmarkStart w:id="238" w:name="_Toc174767294"/>
      <w:bookmarkStart w:id="239" w:name="_Toc379873868"/>
      <w:bookmarkStart w:id="240" w:name="_Toc155085488"/>
      <w:r>
        <w:rPr>
          <w:rFonts w:hint="eastAsia" w:ascii="宋体" w:hAnsi="宋体" w:cs="宋体"/>
          <w:b/>
          <w:color w:val="000000"/>
          <w:sz w:val="24"/>
          <w:lang w:bidi="ar"/>
        </w:rPr>
        <w:t>瑕疵和风险揭示</w:t>
      </w:r>
    </w:p>
    <w:p>
      <w:pPr>
        <w:numPr>
          <w:ilvl w:val="1"/>
          <w:numId w:val="2"/>
        </w:numPr>
        <w:spacing w:line="480" w:lineRule="exact"/>
        <w:ind w:left="0" w:firstLine="480"/>
        <w:rPr>
          <w:rFonts w:ascii="宋体" w:hAnsi="宋体" w:cs="宋体"/>
          <w:color w:val="000000"/>
          <w:sz w:val="24"/>
        </w:rPr>
      </w:pPr>
      <w:r>
        <w:rPr>
          <w:rFonts w:hint="eastAsia" w:ascii="宋体" w:hAnsi="宋体" w:cs="宋体"/>
          <w:color w:val="000000"/>
          <w:sz w:val="24"/>
          <w:lang w:bidi="ar"/>
        </w:rPr>
        <w:t xml:space="preserve"> 乙方已被告知并完全理解，甲方转让给乙方的标的债权存在或可能存在下列瑕疵或风险，且因甲方并非标的债权的原始权利人，甲方无法对其承继的、由任何第三方制作的标的债权证明文件的真实性、有效性、准确性和完整性提供保证，以至于乙方受让标的债权的预期利益可能无法实现。该等瑕疵或风险包括但不限于下列一项或多项：</w:t>
      </w:r>
    </w:p>
    <w:p>
      <w:pPr>
        <w:numPr>
          <w:ilvl w:val="2"/>
          <w:numId w:val="4"/>
        </w:numPr>
        <w:spacing w:line="480" w:lineRule="exact"/>
        <w:ind w:left="0" w:firstLine="480"/>
        <w:rPr>
          <w:rFonts w:ascii="宋体" w:hAnsi="宋体" w:cs="宋体"/>
          <w:color w:val="000000"/>
          <w:sz w:val="24"/>
        </w:rPr>
      </w:pPr>
      <w:r>
        <w:rPr>
          <w:rFonts w:hint="eastAsia" w:ascii="宋体" w:hAnsi="宋体" w:cs="宋体"/>
          <w:color w:val="000000"/>
          <w:sz w:val="24"/>
          <w:lang w:bidi="ar"/>
        </w:rPr>
        <w:t>标的债权系不良资产，存在着部分或全部不能回收的风险特性以及清收的困难性；</w:t>
      </w:r>
    </w:p>
    <w:p>
      <w:pPr>
        <w:numPr>
          <w:ilvl w:val="2"/>
          <w:numId w:val="4"/>
        </w:numPr>
        <w:spacing w:line="480" w:lineRule="exact"/>
        <w:ind w:left="0" w:firstLine="480"/>
        <w:rPr>
          <w:rFonts w:ascii="宋体" w:hAnsi="宋体" w:cs="宋体"/>
          <w:color w:val="000000"/>
          <w:sz w:val="24"/>
        </w:rPr>
      </w:pPr>
      <w:r>
        <w:rPr>
          <w:rFonts w:hint="eastAsia" w:ascii="宋体" w:hAnsi="宋体" w:cs="宋体"/>
          <w:color w:val="000000"/>
          <w:sz w:val="24"/>
          <w:lang w:bidi="ar"/>
        </w:rPr>
        <w:t>基于有关司法政策文件，乙方受让标的债权后向债务人或担保人所能主张并获得司法支持的利息可能与本合同附表中所列明的利息不完全一致；</w:t>
      </w:r>
    </w:p>
    <w:p>
      <w:pPr>
        <w:numPr>
          <w:ilvl w:val="2"/>
          <w:numId w:val="4"/>
        </w:numPr>
        <w:spacing w:line="480" w:lineRule="exact"/>
        <w:ind w:left="0" w:firstLine="480"/>
        <w:rPr>
          <w:rFonts w:ascii="宋体" w:hAnsi="宋体" w:cs="宋体"/>
          <w:color w:val="000000"/>
          <w:sz w:val="24"/>
        </w:rPr>
      </w:pPr>
      <w:r>
        <w:rPr>
          <w:rFonts w:hint="eastAsia" w:ascii="宋体" w:hAnsi="宋体" w:cs="宋体"/>
          <w:color w:val="000000"/>
          <w:sz w:val="24"/>
          <w:lang w:bidi="ar"/>
        </w:rPr>
        <w:t>标的债权项下借款人、担保人或其他责任主体可能存在破产、被吊销、被撤销、注销、解散、关闭、歇业、停业、下落不明以及其他主体存续性瑕疵的情形；</w:t>
      </w:r>
    </w:p>
    <w:p>
      <w:pPr>
        <w:numPr>
          <w:ilvl w:val="2"/>
          <w:numId w:val="4"/>
        </w:numPr>
        <w:spacing w:line="480" w:lineRule="exact"/>
        <w:ind w:left="0" w:firstLine="480"/>
        <w:rPr>
          <w:rFonts w:ascii="宋体" w:hAnsi="宋体" w:cs="宋体"/>
          <w:bCs/>
          <w:color w:val="000000"/>
          <w:sz w:val="24"/>
        </w:rPr>
      </w:pPr>
      <w:r>
        <w:rPr>
          <w:rFonts w:hint="eastAsia" w:ascii="宋体" w:hAnsi="宋体"/>
          <w:bCs/>
          <w:color w:val="000000"/>
          <w:sz w:val="24"/>
        </w:rPr>
        <w:t>标的债权可能存在未生效、</w:t>
      </w:r>
      <w:r>
        <w:rPr>
          <w:rFonts w:ascii="宋体" w:hAnsi="宋体"/>
          <w:bCs/>
          <w:color w:val="000000"/>
          <w:sz w:val="24"/>
        </w:rPr>
        <w:t>无效或被撤销</w:t>
      </w:r>
      <w:r>
        <w:rPr>
          <w:rFonts w:hint="eastAsia" w:ascii="宋体" w:hAnsi="宋体"/>
          <w:bCs/>
          <w:color w:val="000000"/>
          <w:sz w:val="24"/>
        </w:rPr>
        <w:t>的情形；</w:t>
      </w:r>
    </w:p>
    <w:p>
      <w:pPr>
        <w:numPr>
          <w:ilvl w:val="2"/>
          <w:numId w:val="4"/>
        </w:numPr>
        <w:spacing w:line="480" w:lineRule="exact"/>
        <w:ind w:left="0" w:firstLine="480"/>
        <w:rPr>
          <w:rFonts w:ascii="宋体" w:hAnsi="宋体" w:cs="宋体"/>
          <w:color w:val="000000"/>
          <w:sz w:val="24"/>
        </w:rPr>
      </w:pPr>
      <w:r>
        <w:rPr>
          <w:rFonts w:hint="eastAsia" w:ascii="宋体" w:hAnsi="宋体" w:cs="宋体"/>
          <w:color w:val="000000"/>
          <w:sz w:val="24"/>
          <w:lang w:bidi="ar"/>
        </w:rPr>
        <w:t>标的债权可能已超过诉讼时效、执行期限、法定或约定时效或丧失其他相关的期间利益（包括但不限于债权人代位权、债权人撤销权等）或因其他原因已部分或全部丧失；</w:t>
      </w:r>
    </w:p>
    <w:p>
      <w:pPr>
        <w:numPr>
          <w:ilvl w:val="2"/>
          <w:numId w:val="4"/>
        </w:numPr>
        <w:spacing w:line="480" w:lineRule="exact"/>
        <w:ind w:left="0" w:firstLine="480"/>
        <w:rPr>
          <w:rFonts w:ascii="宋体" w:hAnsi="宋体" w:cs="宋体"/>
          <w:color w:val="000000"/>
          <w:sz w:val="24"/>
        </w:rPr>
      </w:pPr>
      <w:r>
        <w:rPr>
          <w:rFonts w:hint="eastAsia" w:ascii="宋体" w:hAnsi="宋体" w:cs="宋体"/>
          <w:color w:val="000000"/>
          <w:sz w:val="24"/>
          <w:lang w:bidi="ar"/>
        </w:rPr>
        <w:t>标的债权项下担保权利可能未生效、无效、消灭、被撤销或已过保证期间、诉讼时效等情形；</w:t>
      </w:r>
    </w:p>
    <w:p>
      <w:pPr>
        <w:numPr>
          <w:ilvl w:val="2"/>
          <w:numId w:val="4"/>
        </w:numPr>
        <w:spacing w:line="480" w:lineRule="exact"/>
        <w:ind w:left="0" w:firstLine="480"/>
        <w:rPr>
          <w:rFonts w:ascii="宋体" w:hAnsi="宋体" w:cs="宋体"/>
          <w:color w:val="000000"/>
          <w:sz w:val="24"/>
          <w:lang w:bidi="ar"/>
        </w:rPr>
      </w:pPr>
      <w:r>
        <w:rPr>
          <w:rFonts w:hint="eastAsia" w:ascii="宋体" w:hAnsi="宋体" w:cs="宋体"/>
          <w:color w:val="000000"/>
          <w:sz w:val="24"/>
          <w:lang w:bidi="ar"/>
        </w:rPr>
        <w:t>担保合同可能存在约定主债权未经担保人同意不可转让或担保人只对特定债权人承担担保责任的情形；</w:t>
      </w:r>
    </w:p>
    <w:p>
      <w:pPr>
        <w:numPr>
          <w:ilvl w:val="2"/>
          <w:numId w:val="4"/>
        </w:numPr>
        <w:spacing w:line="480" w:lineRule="exact"/>
        <w:ind w:left="0" w:firstLine="480"/>
        <w:rPr>
          <w:rFonts w:ascii="宋体" w:hAnsi="宋体" w:cs="宋体"/>
          <w:color w:val="000000"/>
          <w:sz w:val="24"/>
        </w:rPr>
      </w:pPr>
      <w:r>
        <w:rPr>
          <w:rFonts w:hint="eastAsia" w:ascii="宋体" w:hAnsi="宋体" w:cs="宋体"/>
          <w:color w:val="000000"/>
          <w:sz w:val="24"/>
          <w:lang w:bidi="ar"/>
        </w:rPr>
        <w:t>标的债权证明文件（包括但不限于原件）可能存在缺失、内容冲突等相关情形；</w:t>
      </w:r>
    </w:p>
    <w:p>
      <w:pPr>
        <w:numPr>
          <w:ilvl w:val="2"/>
          <w:numId w:val="4"/>
        </w:numPr>
        <w:spacing w:line="480" w:lineRule="exact"/>
        <w:ind w:left="0" w:firstLine="480"/>
        <w:rPr>
          <w:rFonts w:ascii="宋体" w:hAnsi="宋体" w:cs="宋体"/>
          <w:color w:val="000000"/>
          <w:sz w:val="24"/>
        </w:rPr>
      </w:pPr>
      <w:r>
        <w:rPr>
          <w:rFonts w:hint="eastAsia" w:ascii="宋体" w:hAnsi="宋体" w:cs="宋体"/>
          <w:color w:val="000000"/>
          <w:sz w:val="24"/>
          <w:lang w:bidi="ar"/>
        </w:rPr>
        <w:t>担保物、抵债资产（协议抵债且未办理过户）可能发生灭失、毁损或可能存在欠缴税费、不能办理权属变更手续、不能实际占有或其他减损担保物、抵债资产价值的相关情形；</w:t>
      </w:r>
    </w:p>
    <w:p>
      <w:pPr>
        <w:numPr>
          <w:ilvl w:val="2"/>
          <w:numId w:val="4"/>
        </w:numPr>
        <w:spacing w:line="480" w:lineRule="exact"/>
        <w:ind w:left="0" w:firstLine="480"/>
        <w:rPr>
          <w:rFonts w:ascii="宋体" w:hAnsi="宋体" w:cs="宋体"/>
          <w:color w:val="000000"/>
          <w:sz w:val="24"/>
        </w:rPr>
      </w:pPr>
      <w:r>
        <w:rPr>
          <w:rFonts w:hint="eastAsia" w:ascii="宋体" w:hAnsi="宋体" w:cs="宋体"/>
          <w:color w:val="000000"/>
          <w:sz w:val="24"/>
          <w:lang w:bidi="ar"/>
        </w:rPr>
        <w:t>涉诉标的债权可能存在全部或部分败诉、不能变更诉讼（含执行）主体、相关诉讼、执行费用未付等情形，涉诉标的债权可能在交割前已诉讼终结、执行终结或破产终结;</w:t>
      </w:r>
    </w:p>
    <w:p>
      <w:pPr>
        <w:numPr>
          <w:ilvl w:val="2"/>
          <w:numId w:val="4"/>
        </w:numPr>
        <w:spacing w:line="480" w:lineRule="exact"/>
        <w:ind w:left="0" w:firstLine="480"/>
        <w:rPr>
          <w:rFonts w:ascii="宋体" w:hAnsi="宋体" w:cs="宋体"/>
          <w:color w:val="000000"/>
          <w:sz w:val="24"/>
        </w:rPr>
      </w:pPr>
      <w:r>
        <w:rPr>
          <w:rFonts w:hint="eastAsia" w:ascii="宋体" w:hAnsi="宋体" w:cs="宋体"/>
          <w:color w:val="000000"/>
          <w:sz w:val="24"/>
          <w:lang w:bidi="ar"/>
        </w:rPr>
        <w:t>标的债权事实上可能已经全部或部分灭失;</w:t>
      </w:r>
    </w:p>
    <w:p>
      <w:pPr>
        <w:numPr>
          <w:ilvl w:val="2"/>
          <w:numId w:val="4"/>
        </w:numPr>
        <w:spacing w:line="480" w:lineRule="exact"/>
        <w:ind w:left="0" w:firstLine="480"/>
        <w:rPr>
          <w:rFonts w:ascii="宋体" w:hAnsi="宋体" w:cs="宋体"/>
          <w:color w:val="000000"/>
          <w:sz w:val="24"/>
        </w:rPr>
      </w:pPr>
      <w:r>
        <w:rPr>
          <w:rFonts w:hint="eastAsia" w:ascii="宋体" w:hAnsi="宋体" w:cs="宋体"/>
          <w:color w:val="000000"/>
          <w:sz w:val="24"/>
          <w:lang w:bidi="ar"/>
        </w:rPr>
        <w:t>乙方受让标的债权对应的标的债权后，对该标的债权在受让日后的利息或罚息请求权，可能无法继续享有并主张;</w:t>
      </w:r>
    </w:p>
    <w:p>
      <w:pPr>
        <w:numPr>
          <w:ilvl w:val="2"/>
          <w:numId w:val="4"/>
        </w:numPr>
        <w:spacing w:line="480" w:lineRule="exact"/>
        <w:ind w:left="0" w:firstLine="480"/>
        <w:rPr>
          <w:rFonts w:ascii="宋体" w:hAnsi="宋体" w:cs="宋体"/>
          <w:color w:val="000000"/>
          <w:sz w:val="24"/>
        </w:rPr>
      </w:pPr>
      <w:r>
        <w:rPr>
          <w:rFonts w:hint="eastAsia" w:ascii="宋体" w:hAnsi="宋体" w:cs="宋体"/>
          <w:color w:val="000000"/>
          <w:sz w:val="24"/>
          <w:lang w:bidi="ar"/>
        </w:rPr>
        <w:t>乙方受让标的债权后，可能无法享有甲方所享有的国家法律政策规定的各项优惠条件和特殊保护，包括但不限于税收和诉讼方面的优惠和特殊保护;</w:t>
      </w:r>
    </w:p>
    <w:p>
      <w:pPr>
        <w:numPr>
          <w:ilvl w:val="2"/>
          <w:numId w:val="4"/>
        </w:numPr>
        <w:spacing w:line="480" w:lineRule="exact"/>
        <w:ind w:left="0" w:firstLine="480"/>
        <w:rPr>
          <w:rFonts w:ascii="宋体" w:hAnsi="宋体" w:cs="宋体"/>
          <w:color w:val="000000"/>
          <w:sz w:val="24"/>
        </w:rPr>
      </w:pPr>
      <w:r>
        <w:rPr>
          <w:rFonts w:hint="eastAsia" w:ascii="宋体" w:hAnsi="宋体" w:cs="宋体"/>
          <w:color w:val="000000"/>
          <w:sz w:val="24"/>
          <w:lang w:bidi="ar"/>
        </w:rPr>
        <w:t>甲方对上述瑕疵或风险不发表任何判断性结论，由乙方自行作出判断，甲方不承担任何责任。</w:t>
      </w:r>
    </w:p>
    <w:p>
      <w:pPr>
        <w:numPr>
          <w:ilvl w:val="1"/>
          <w:numId w:val="2"/>
        </w:numPr>
        <w:spacing w:line="480" w:lineRule="exact"/>
        <w:ind w:left="0" w:firstLine="480"/>
        <w:rPr>
          <w:rFonts w:ascii="宋体" w:hAnsi="宋体" w:cs="宋体"/>
          <w:b/>
          <w:color w:val="000000"/>
          <w:sz w:val="24"/>
        </w:rPr>
      </w:pPr>
      <w:r>
        <w:rPr>
          <w:rFonts w:hint="eastAsia" w:ascii="宋体" w:hAnsi="宋体" w:cs="宋体"/>
          <w:b/>
          <w:color w:val="000000"/>
          <w:sz w:val="24"/>
          <w:lang w:bidi="ar"/>
        </w:rPr>
        <w:t xml:space="preserve"> 乙方声明：乙方已被告知仔细审阅本合同的条款，并在确认完整、全面地理解全部合同条款内容后签署本合同，乙方对标的债权可能存在的瑕疵或风险完全理解并予以认可。本合同一经乙方签署，即证明乙方已完整、全面地理解本合同全部条款，并充分认知履行本合同、受让标的债权可能遭受的一切风险，乙方自愿承担由上述风险造成的一切损失以及不能获得相应预期利益的后果。</w:t>
      </w:r>
    </w:p>
    <w:p>
      <w:pPr>
        <w:numPr>
          <w:ilvl w:val="1"/>
          <w:numId w:val="2"/>
        </w:numPr>
        <w:spacing w:line="480" w:lineRule="exact"/>
        <w:ind w:left="0" w:firstLine="480"/>
        <w:rPr>
          <w:rFonts w:ascii="宋体" w:hAnsi="宋体" w:cs="宋体"/>
          <w:b/>
          <w:color w:val="000000"/>
          <w:sz w:val="24"/>
        </w:rPr>
      </w:pPr>
      <w:r>
        <w:rPr>
          <w:rFonts w:hint="eastAsia" w:ascii="宋体" w:hAnsi="宋体" w:cs="宋体"/>
          <w:b/>
          <w:color w:val="000000"/>
          <w:sz w:val="24"/>
          <w:lang w:bidi="ar"/>
        </w:rPr>
        <w:t xml:space="preserve"> 乙方进一步确认，其已充分了解并认识上述瑕疵或风险，并经独立慎重判断后作出签署本合同的决定，同意按照现状受让标的债权，乙方承诺不因上述瑕疵或风险而要求甲方赔偿、回购或承担任何责任；乙方并进一步承诺：任何情况下，其均将按照本合同的约定履行义务，并放弃主张转让合同无效或要求人民法院撤销转让合同，或以标的债权存在上述瑕疵或风险作为减轻或免除其义务和责任的抗辩理由。乙方同时承诺，其从甲方处受让标的债权后，如将标的债权再行转让给第三方的，若第三方在主张权利过程中不能实现标的债权而发生纠纷的，由乙方向该第三方承担责任，不向甲方追偿。</w:t>
      </w:r>
    </w:p>
    <w:p>
      <w:pPr>
        <w:numPr>
          <w:ilvl w:val="1"/>
          <w:numId w:val="2"/>
        </w:numPr>
        <w:spacing w:line="480" w:lineRule="exact"/>
        <w:ind w:left="0" w:firstLine="480"/>
        <w:rPr>
          <w:rFonts w:ascii="宋体" w:hAnsi="宋体" w:cs="宋体"/>
          <w:b/>
          <w:color w:val="000000"/>
          <w:sz w:val="24"/>
        </w:rPr>
      </w:pPr>
      <w:r>
        <w:rPr>
          <w:rFonts w:hint="eastAsia" w:ascii="宋体" w:hAnsi="宋体" w:cs="宋体"/>
          <w:b/>
          <w:sz w:val="24"/>
          <w:lang w:bidi="ar"/>
        </w:rPr>
        <w:t>乙方进一步确认，其已充分了解并认识上述瑕疵或风险，并经独立慎重判断后作出愿意承担违约金的决定。乙方承诺，愿意依本合同第9</w:t>
      </w:r>
      <w:r>
        <w:rPr>
          <w:rFonts w:ascii="宋体" w:hAnsi="宋体" w:cs="宋体"/>
          <w:b/>
          <w:sz w:val="24"/>
          <w:lang w:bidi="ar"/>
        </w:rPr>
        <w:t>.2条约定的违约金标准无条件承担违约</w:t>
      </w:r>
      <w:r>
        <w:rPr>
          <w:rFonts w:hint="eastAsia" w:ascii="宋体" w:hAnsi="宋体" w:cs="宋体"/>
          <w:b/>
          <w:sz w:val="24"/>
          <w:lang w:bidi="ar"/>
        </w:rPr>
        <w:t>责任。</w:t>
      </w:r>
    </w:p>
    <w:p>
      <w:pPr>
        <w:numPr>
          <w:ilvl w:val="0"/>
          <w:numId w:val="2"/>
        </w:numPr>
        <w:spacing w:line="480" w:lineRule="exact"/>
        <w:ind w:left="0" w:firstLine="480"/>
        <w:outlineLvl w:val="0"/>
        <w:rPr>
          <w:rFonts w:ascii="宋体" w:hAnsi="宋体" w:cs="宋体"/>
          <w:b/>
          <w:color w:val="000000"/>
          <w:sz w:val="24"/>
        </w:rPr>
      </w:pPr>
      <w:r>
        <w:rPr>
          <w:rFonts w:hint="eastAsia" w:ascii="宋体" w:hAnsi="宋体" w:cs="宋体"/>
          <w:b/>
          <w:color w:val="000000"/>
          <w:sz w:val="24"/>
          <w:lang w:bidi="ar"/>
        </w:rPr>
        <w:t>不可抗力</w:t>
      </w:r>
      <w:bookmarkEnd w:id="238"/>
      <w:bookmarkEnd w:id="239"/>
      <w:bookmarkEnd w:id="240"/>
    </w:p>
    <w:p>
      <w:pPr>
        <w:numPr>
          <w:ilvl w:val="1"/>
          <w:numId w:val="2"/>
        </w:numPr>
        <w:spacing w:line="480" w:lineRule="exact"/>
        <w:ind w:left="0" w:firstLine="480"/>
        <w:rPr>
          <w:rFonts w:ascii="宋体" w:hAnsi="宋体" w:cs="宋体"/>
          <w:color w:val="000000"/>
          <w:sz w:val="24"/>
        </w:rPr>
      </w:pPr>
      <w:r>
        <w:rPr>
          <w:rFonts w:hint="eastAsia" w:ascii="宋体" w:hAnsi="宋体" w:cs="宋体"/>
          <w:color w:val="000000"/>
          <w:sz w:val="24"/>
          <w:lang w:bidi="ar"/>
        </w:rPr>
        <w:t>“不可抗力”是指本合同双方不能合理控制、不可预见或即使预见亦无法避免的事件，该事件妨碍、影响或延误任何一方根据本合同履行其全部或部分义务。该事件包括但不限于地震、台风、洪水、火灾、瘟疫、其他天灾、战争、政变、骚乱、罢工等因素。</w:t>
      </w:r>
    </w:p>
    <w:p>
      <w:pPr>
        <w:numPr>
          <w:ilvl w:val="1"/>
          <w:numId w:val="2"/>
        </w:numPr>
        <w:spacing w:line="480" w:lineRule="exact"/>
        <w:ind w:left="0" w:firstLine="480"/>
        <w:rPr>
          <w:rFonts w:ascii="宋体" w:hAnsi="宋体" w:cs="宋体"/>
          <w:color w:val="000000"/>
          <w:sz w:val="24"/>
        </w:rPr>
      </w:pPr>
      <w:r>
        <w:rPr>
          <w:rFonts w:hint="eastAsia" w:ascii="宋体" w:hAnsi="宋体" w:cs="宋体"/>
          <w:color w:val="000000"/>
          <w:sz w:val="24"/>
          <w:lang w:bidi="ar"/>
        </w:rPr>
        <w:t>如发生不可抗力事件，遭受该事件的一方应立即通知其他方，并在三日内提供证明文件说明有关事件的细节和不能履行或部分不能履行或需延迟履行本合同的原因。合同双方应在协商一致的基础上决定是否延期履行本合同或终止本合同，并达成书面合同。</w:t>
      </w:r>
    </w:p>
    <w:p>
      <w:pPr>
        <w:numPr>
          <w:ilvl w:val="0"/>
          <w:numId w:val="2"/>
        </w:numPr>
        <w:spacing w:line="480" w:lineRule="exact"/>
        <w:ind w:left="0" w:firstLine="480"/>
        <w:outlineLvl w:val="0"/>
        <w:rPr>
          <w:rFonts w:ascii="宋体" w:hAnsi="宋体" w:cs="宋体"/>
          <w:b/>
          <w:color w:val="000000"/>
          <w:sz w:val="24"/>
        </w:rPr>
      </w:pPr>
      <w:bookmarkStart w:id="241" w:name="_Toc260836018"/>
      <w:bookmarkEnd w:id="241"/>
      <w:bookmarkStart w:id="242" w:name="_Toc174767295"/>
      <w:bookmarkStart w:id="243" w:name="_Toc379873869"/>
      <w:bookmarkStart w:id="244" w:name="_Toc155085489"/>
      <w:r>
        <w:rPr>
          <w:rFonts w:hint="eastAsia" w:ascii="宋体" w:hAnsi="宋体" w:cs="宋体"/>
          <w:b/>
          <w:color w:val="000000"/>
          <w:sz w:val="24"/>
          <w:lang w:bidi="ar"/>
        </w:rPr>
        <w:t>保密</w:t>
      </w:r>
      <w:bookmarkEnd w:id="242"/>
      <w:bookmarkEnd w:id="243"/>
      <w:bookmarkEnd w:id="244"/>
    </w:p>
    <w:p>
      <w:pPr>
        <w:numPr>
          <w:ilvl w:val="1"/>
          <w:numId w:val="2"/>
        </w:numPr>
        <w:spacing w:line="480" w:lineRule="exact"/>
        <w:ind w:left="0" w:firstLine="480"/>
        <w:rPr>
          <w:rFonts w:ascii="宋体" w:hAnsi="宋体" w:cs="宋体"/>
          <w:color w:val="000000"/>
          <w:sz w:val="24"/>
        </w:rPr>
      </w:pPr>
      <w:bookmarkStart w:id="245" w:name="_Ref128894846"/>
      <w:r>
        <w:rPr>
          <w:rFonts w:hint="eastAsia" w:ascii="宋体" w:hAnsi="宋体" w:cs="宋体"/>
          <w:color w:val="000000"/>
          <w:sz w:val="24"/>
          <w:lang w:bidi="ar"/>
        </w:rPr>
        <w:t>双方因签署、履行本合同过程中所获得的对方商业秘密以及其他未公开的信息，任何一方不得对外透露和使用，但根据法律、法规、规章或监管部门要求应当进行披露的除外。</w:t>
      </w:r>
      <w:bookmarkEnd w:id="245"/>
    </w:p>
    <w:p>
      <w:pPr>
        <w:numPr>
          <w:ilvl w:val="1"/>
          <w:numId w:val="2"/>
        </w:numPr>
        <w:spacing w:line="480" w:lineRule="exact"/>
        <w:ind w:left="0" w:firstLine="480"/>
        <w:rPr>
          <w:rFonts w:ascii="宋体" w:hAnsi="宋体" w:cs="宋体"/>
          <w:color w:val="000000"/>
          <w:sz w:val="24"/>
        </w:rPr>
      </w:pPr>
      <w:r>
        <w:rPr>
          <w:rFonts w:hint="eastAsia" w:ascii="宋体" w:hAnsi="宋体" w:cs="宋体"/>
          <w:color w:val="000000"/>
          <w:sz w:val="24"/>
          <w:lang w:bidi="ar"/>
        </w:rPr>
        <w:t>商业秘密以及其他未公开信息的提供方向接受方提供或披露的商业秘密以及其他未公开的信息，仅可由接受方为执行本合同需要披露给指定的雇员，并且仅在为执行本合同所需的范围内进行该等披露；但是，由该等雇员做出至少与本合同保密义务一样严格的保密承诺等，以防止该等雇员为个人利益使用保密信息或向任何第三方做出未经授权的任何披露。</w:t>
      </w:r>
    </w:p>
    <w:p>
      <w:pPr>
        <w:numPr>
          <w:ilvl w:val="1"/>
          <w:numId w:val="2"/>
        </w:numPr>
        <w:spacing w:line="480" w:lineRule="exact"/>
        <w:ind w:left="0" w:firstLine="480"/>
        <w:rPr>
          <w:rFonts w:ascii="宋体" w:hAnsi="宋体" w:cs="宋体"/>
          <w:color w:val="000000"/>
          <w:sz w:val="24"/>
        </w:rPr>
      </w:pPr>
      <w:r>
        <w:rPr>
          <w:rFonts w:hint="eastAsia" w:ascii="宋体" w:hAnsi="宋体" w:cs="宋体"/>
          <w:color w:val="000000"/>
          <w:sz w:val="24"/>
          <w:lang w:bidi="ar"/>
        </w:rPr>
        <w:t>当本合同解除或终止时，接受方应立即停止使用且不得许可第三方使用提供方的商业秘密以及其他未公开的信息，同时，接受方应按照提供方的书面要求，将提供方提供的商业秘密以及其他未公开的信息退还提供方或予以删除或销毁。</w:t>
      </w:r>
    </w:p>
    <w:p>
      <w:pPr>
        <w:numPr>
          <w:ilvl w:val="1"/>
          <w:numId w:val="2"/>
        </w:numPr>
        <w:spacing w:line="480" w:lineRule="exact"/>
        <w:ind w:left="0" w:firstLine="480"/>
        <w:rPr>
          <w:rFonts w:ascii="宋体" w:hAnsi="宋体" w:cs="宋体"/>
          <w:color w:val="000000"/>
          <w:sz w:val="24"/>
        </w:rPr>
      </w:pPr>
      <w:r>
        <w:rPr>
          <w:rFonts w:hint="eastAsia" w:ascii="宋体" w:hAnsi="宋体" w:cs="宋体"/>
          <w:color w:val="000000"/>
          <w:sz w:val="24"/>
          <w:lang w:bidi="ar"/>
        </w:rPr>
        <w:t>在任何情形下，本条所规定的保密义务应永久持续有效。</w:t>
      </w:r>
    </w:p>
    <w:p>
      <w:pPr>
        <w:numPr>
          <w:ilvl w:val="0"/>
          <w:numId w:val="2"/>
        </w:numPr>
        <w:spacing w:line="480" w:lineRule="exact"/>
        <w:ind w:left="0" w:firstLine="480"/>
        <w:outlineLvl w:val="0"/>
        <w:rPr>
          <w:rFonts w:ascii="宋体" w:hAnsi="宋体" w:cs="宋体"/>
          <w:b/>
          <w:color w:val="000000"/>
          <w:sz w:val="24"/>
        </w:rPr>
      </w:pPr>
      <w:bookmarkStart w:id="246" w:name="_Toc260836020"/>
      <w:bookmarkEnd w:id="246"/>
      <w:bookmarkStart w:id="247" w:name="_Toc174767296"/>
      <w:bookmarkStart w:id="248" w:name="_Toc155085490"/>
      <w:bookmarkStart w:id="249" w:name="_Toc379873870"/>
      <w:r>
        <w:rPr>
          <w:rFonts w:hint="eastAsia" w:ascii="宋体" w:hAnsi="宋体" w:cs="宋体"/>
          <w:b/>
          <w:color w:val="000000"/>
          <w:sz w:val="24"/>
          <w:lang w:bidi="ar"/>
        </w:rPr>
        <w:t>通知</w:t>
      </w:r>
      <w:bookmarkEnd w:id="247"/>
      <w:bookmarkEnd w:id="248"/>
      <w:bookmarkEnd w:id="249"/>
    </w:p>
    <w:p>
      <w:pPr>
        <w:tabs>
          <w:tab w:val="left" w:pos="425"/>
        </w:tabs>
        <w:spacing w:line="480" w:lineRule="exact"/>
        <w:ind w:firstLine="480" w:firstLineChars="200"/>
        <w:outlineLvl w:val="0"/>
        <w:rPr>
          <w:rFonts w:ascii="宋体" w:hAnsi="宋体" w:cs="宋体"/>
          <w:color w:val="000000"/>
          <w:sz w:val="24"/>
          <w:lang w:bidi="ar"/>
        </w:rPr>
      </w:pPr>
      <w:bookmarkStart w:id="250" w:name="_Ref260742344"/>
      <w:bookmarkStart w:id="251" w:name="_Ref219883379"/>
      <w:r>
        <w:rPr>
          <w:rFonts w:hint="eastAsia" w:ascii="宋体" w:hAnsi="宋体" w:cs="宋体"/>
          <w:color w:val="000000"/>
          <w:sz w:val="24"/>
          <w:lang w:bidi="ar"/>
        </w:rPr>
        <w:t>本协议中涉及各类通知、协议等文件及就协议发生纠纷时相关文件和法律文书送达时的送达地址及法律后果作如下约定：</w:t>
      </w:r>
    </w:p>
    <w:p>
      <w:pPr>
        <w:numPr>
          <w:ilvl w:val="0"/>
          <w:numId w:val="0"/>
        </w:numPr>
        <w:tabs>
          <w:tab w:val="left" w:pos="425"/>
        </w:tabs>
        <w:spacing w:line="480" w:lineRule="exact"/>
        <w:ind w:left="0" w:firstLine="480" w:firstLineChars="200"/>
        <w:outlineLvl w:val="0"/>
        <w:rPr>
          <w:rFonts w:ascii="宋体" w:hAnsi="宋体" w:cs="宋体"/>
          <w:color w:val="000000"/>
          <w:sz w:val="24"/>
          <w:lang w:bidi="ar"/>
        </w:rPr>
      </w:pPr>
      <w:r>
        <w:rPr>
          <w:rFonts w:hint="eastAsia" w:ascii="宋体" w:hAnsi="宋体" w:cs="宋体"/>
          <w:color w:val="000000"/>
          <w:sz w:val="24"/>
          <w:lang w:bidi="ar"/>
        </w:rPr>
        <w:t>1</w:t>
      </w:r>
      <w:r>
        <w:rPr>
          <w:rFonts w:ascii="宋体" w:hAnsi="宋体" w:cs="宋体"/>
          <w:color w:val="000000"/>
          <w:sz w:val="24"/>
          <w:lang w:bidi="ar"/>
        </w:rPr>
        <w:t>3.1</w:t>
      </w:r>
      <w:r>
        <w:rPr>
          <w:rFonts w:hint="eastAsia" w:ascii="宋体" w:hAnsi="宋体" w:cs="宋体"/>
          <w:color w:val="000000"/>
          <w:sz w:val="24"/>
          <w:lang w:bidi="ar"/>
        </w:rPr>
        <w:t>甲方确认其有效的送达信息如下:</w:t>
      </w:r>
    </w:p>
    <w:p>
      <w:pPr>
        <w:numPr>
          <w:ilvl w:val="0"/>
          <w:numId w:val="0"/>
        </w:numPr>
        <w:tabs>
          <w:tab w:val="left" w:pos="425"/>
        </w:tabs>
        <w:spacing w:line="480" w:lineRule="exact"/>
        <w:ind w:left="425" w:firstLine="0"/>
        <w:outlineLvl w:val="0"/>
        <w:rPr>
          <w:rFonts w:ascii="宋体" w:hAnsi="宋体" w:cs="宋体"/>
          <w:color w:val="000000"/>
          <w:sz w:val="24"/>
          <w:lang w:bidi="ar"/>
        </w:rPr>
      </w:pPr>
      <w:r>
        <w:rPr>
          <w:rFonts w:hint="eastAsia" w:ascii="宋体" w:hAnsi="宋体" w:cs="宋体"/>
          <w:color w:val="000000"/>
          <w:sz w:val="24"/>
          <w:lang w:bidi="ar"/>
        </w:rPr>
        <w:t>送达地址:</w:t>
      </w:r>
      <w:r>
        <w:rPr>
          <w:rFonts w:hint="eastAsia" w:ascii="宋体" w:hAnsi="宋体" w:cs="宋体"/>
          <w:color w:val="000000"/>
          <w:sz w:val="24"/>
          <w:lang w:val="zh-TW" w:eastAsia="zh-TW" w:bidi="ar"/>
        </w:rPr>
        <w:t>中国（四川）自由贸易试验区成都高新区</w:t>
      </w:r>
    </w:p>
    <w:p>
      <w:pPr>
        <w:numPr>
          <w:ilvl w:val="0"/>
          <w:numId w:val="0"/>
        </w:numPr>
        <w:tabs>
          <w:tab w:val="left" w:pos="425"/>
        </w:tabs>
        <w:spacing w:line="480" w:lineRule="exact"/>
        <w:ind w:left="425" w:firstLine="0"/>
        <w:outlineLvl w:val="0"/>
        <w:rPr>
          <w:rFonts w:ascii="宋体" w:hAnsi="宋体" w:cs="宋体"/>
          <w:color w:val="000000"/>
          <w:sz w:val="24"/>
          <w:lang w:bidi="ar"/>
        </w:rPr>
      </w:pPr>
      <w:r>
        <w:rPr>
          <w:rFonts w:hint="eastAsia" w:ascii="宋体" w:hAnsi="宋体" w:cs="宋体"/>
          <w:color w:val="000000"/>
          <w:sz w:val="24"/>
          <w:lang w:bidi="ar"/>
        </w:rPr>
        <w:t>电话：</w:t>
      </w:r>
      <w:r>
        <w:rPr>
          <w:rFonts w:hint="eastAsia" w:ascii="宋体" w:hAnsi="宋体" w:eastAsia="宋体" w:cs="宋体"/>
          <w:color w:val="000000"/>
          <w:sz w:val="24"/>
          <w:u w:val="none"/>
          <w:lang w:val="zh-TW" w:eastAsia="zh-TW" w:bidi="ar"/>
        </w:rPr>
        <w:t>028-86021813（615）</w:t>
      </w:r>
    </w:p>
    <w:p>
      <w:pPr>
        <w:numPr>
          <w:ilvl w:val="0"/>
          <w:numId w:val="0"/>
        </w:numPr>
        <w:tabs>
          <w:tab w:val="left" w:pos="425"/>
        </w:tabs>
        <w:spacing w:line="480" w:lineRule="exact"/>
        <w:ind w:left="425" w:firstLine="0"/>
        <w:outlineLvl w:val="0"/>
        <w:rPr>
          <w:rFonts w:hint="eastAsia" w:ascii="宋体" w:hAnsi="宋体" w:cs="宋体"/>
          <w:color w:val="000000"/>
          <w:sz w:val="24"/>
          <w:lang w:bidi="ar"/>
        </w:rPr>
      </w:pPr>
      <w:r>
        <w:rPr>
          <w:rFonts w:hint="eastAsia" w:ascii="宋体" w:hAnsi="宋体" w:cs="宋体"/>
          <w:color w:val="000000"/>
          <w:sz w:val="24"/>
          <w:lang w:bidi="ar"/>
        </w:rPr>
        <w:t>电子邮箱：</w:t>
      </w:r>
    </w:p>
    <w:p>
      <w:pPr>
        <w:numPr>
          <w:ilvl w:val="0"/>
          <w:numId w:val="0"/>
        </w:numPr>
        <w:tabs>
          <w:tab w:val="left" w:pos="425"/>
        </w:tabs>
        <w:spacing w:line="480" w:lineRule="exact"/>
        <w:ind w:left="425" w:firstLine="0"/>
        <w:outlineLvl w:val="0"/>
        <w:rPr>
          <w:rFonts w:ascii="宋体" w:hAnsi="宋体" w:cs="宋体"/>
          <w:color w:val="000000"/>
          <w:sz w:val="24"/>
          <w:lang w:bidi="ar"/>
        </w:rPr>
      </w:pPr>
      <w:r>
        <w:rPr>
          <w:rFonts w:hint="eastAsia" w:ascii="宋体" w:hAnsi="宋体" w:cs="宋体"/>
          <w:color w:val="000000"/>
          <w:sz w:val="24"/>
          <w:lang w:bidi="ar"/>
        </w:rPr>
        <w:t>联系人</w:t>
      </w:r>
      <w:r>
        <w:rPr>
          <w:rFonts w:hint="eastAsia" w:ascii="宋体" w:hAnsi="宋体" w:cs="宋体"/>
          <w:color w:val="000000"/>
          <w:sz w:val="24"/>
          <w:u w:val="none"/>
          <w:lang w:val="zh-TW" w:eastAsia="zh-TW" w:bidi="ar"/>
        </w:rPr>
        <w:t>：</w:t>
      </w:r>
    </w:p>
    <w:p>
      <w:pPr>
        <w:numPr>
          <w:ilvl w:val="0"/>
          <w:numId w:val="0"/>
        </w:numPr>
        <w:tabs>
          <w:tab w:val="left" w:pos="425"/>
        </w:tabs>
        <w:spacing w:line="480" w:lineRule="exact"/>
        <w:ind w:left="0" w:firstLine="360" w:firstLineChars="150"/>
        <w:outlineLvl w:val="0"/>
        <w:rPr>
          <w:rFonts w:ascii="宋体" w:hAnsi="宋体" w:cs="宋体"/>
          <w:color w:val="000000"/>
          <w:sz w:val="24"/>
          <w:lang w:bidi="ar"/>
        </w:rPr>
      </w:pPr>
      <w:r>
        <w:rPr>
          <w:rFonts w:ascii="宋体" w:hAnsi="宋体" w:cs="宋体"/>
          <w:color w:val="000000"/>
          <w:sz w:val="24"/>
          <w:lang w:bidi="ar"/>
        </w:rPr>
        <w:t>13.2</w:t>
      </w:r>
      <w:r>
        <w:rPr>
          <w:rFonts w:hint="eastAsia" w:ascii="宋体" w:hAnsi="宋体" w:cs="宋体"/>
          <w:color w:val="000000"/>
          <w:sz w:val="24"/>
          <w:lang w:bidi="ar"/>
        </w:rPr>
        <w:t>乙方确认其有效的送达信息如下：</w:t>
      </w:r>
    </w:p>
    <w:p>
      <w:pPr>
        <w:numPr>
          <w:ilvl w:val="0"/>
          <w:numId w:val="0"/>
        </w:numPr>
        <w:tabs>
          <w:tab w:val="left" w:pos="425"/>
        </w:tabs>
        <w:spacing w:line="480" w:lineRule="exact"/>
        <w:ind w:left="425" w:firstLine="0"/>
        <w:outlineLvl w:val="0"/>
        <w:rPr>
          <w:rFonts w:hint="eastAsia" w:ascii="宋体" w:hAnsi="宋体" w:cs="宋体"/>
          <w:color w:val="000000"/>
          <w:sz w:val="24"/>
          <w:lang w:val="en-US" w:eastAsia="zh-CN" w:bidi="ar"/>
        </w:rPr>
      </w:pPr>
      <w:r>
        <w:rPr>
          <w:rFonts w:hint="eastAsia" w:ascii="宋体" w:hAnsi="宋体" w:cs="宋体"/>
          <w:color w:val="000000"/>
          <w:sz w:val="24"/>
          <w:lang w:bidi="ar"/>
        </w:rPr>
        <w:t>送达地址:</w:t>
      </w:r>
      <w:r>
        <w:rPr>
          <w:rFonts w:hint="eastAsia" w:ascii="宋体" w:hAnsi="宋体" w:cs="宋体"/>
          <w:color w:val="000000"/>
          <w:sz w:val="24"/>
          <w:lang w:val="en-US" w:eastAsia="zh-CN" w:bidi="ar"/>
        </w:rPr>
        <w:t xml:space="preserve">                         </w:t>
      </w:r>
    </w:p>
    <w:p>
      <w:pPr>
        <w:numPr>
          <w:ilvl w:val="0"/>
          <w:numId w:val="0"/>
        </w:numPr>
        <w:tabs>
          <w:tab w:val="left" w:pos="425"/>
        </w:tabs>
        <w:spacing w:line="480" w:lineRule="exact"/>
        <w:ind w:left="425" w:firstLine="0"/>
        <w:outlineLvl w:val="0"/>
        <w:rPr>
          <w:rFonts w:hint="default" w:ascii="宋体" w:hAnsi="宋体" w:eastAsia="宋体" w:cs="宋体"/>
          <w:color w:val="000000"/>
          <w:sz w:val="24"/>
          <w:lang w:val="en-US" w:eastAsia="zh-CN" w:bidi="ar"/>
        </w:rPr>
      </w:pPr>
      <w:r>
        <w:rPr>
          <w:rFonts w:hint="eastAsia" w:ascii="宋体" w:hAnsi="宋体" w:cs="宋体"/>
          <w:color w:val="000000"/>
          <w:sz w:val="24"/>
          <w:lang w:bidi="ar"/>
        </w:rPr>
        <w:t>电话：</w:t>
      </w:r>
      <w:r>
        <w:rPr>
          <w:rFonts w:hint="eastAsia" w:ascii="宋体" w:hAnsi="宋体" w:cs="宋体"/>
          <w:color w:val="000000"/>
          <w:sz w:val="24"/>
          <w:lang w:val="en-US" w:eastAsia="zh-CN" w:bidi="ar"/>
        </w:rPr>
        <w:t xml:space="preserve">     </w:t>
      </w:r>
    </w:p>
    <w:p>
      <w:pPr>
        <w:numPr>
          <w:ilvl w:val="0"/>
          <w:numId w:val="0"/>
        </w:numPr>
        <w:tabs>
          <w:tab w:val="left" w:pos="425"/>
        </w:tabs>
        <w:spacing w:line="480" w:lineRule="exact"/>
        <w:ind w:left="0" w:firstLine="360" w:firstLineChars="150"/>
        <w:outlineLvl w:val="0"/>
        <w:rPr>
          <w:rFonts w:hint="default" w:ascii="宋体" w:hAnsi="宋体" w:eastAsia="宋体" w:cs="宋体"/>
          <w:color w:val="000000"/>
          <w:sz w:val="24"/>
          <w:lang w:val="en-US" w:eastAsia="zh-CN" w:bidi="ar"/>
        </w:rPr>
      </w:pPr>
      <w:r>
        <w:rPr>
          <w:rFonts w:hint="eastAsia" w:ascii="宋体" w:hAnsi="宋体" w:cs="宋体"/>
          <w:color w:val="000000"/>
          <w:sz w:val="24"/>
          <w:lang w:bidi="ar"/>
        </w:rPr>
        <w:t>电子邮箱：</w:t>
      </w:r>
      <w:r>
        <w:rPr>
          <w:rFonts w:hint="eastAsia" w:ascii="宋体" w:hAnsi="宋体" w:cs="宋体"/>
          <w:color w:val="000000"/>
          <w:sz w:val="24"/>
          <w:lang w:val="en-US" w:eastAsia="zh-CN" w:bidi="ar"/>
        </w:rPr>
        <w:t xml:space="preserve">          </w:t>
      </w:r>
    </w:p>
    <w:p>
      <w:pPr>
        <w:tabs>
          <w:tab w:val="left" w:pos="425"/>
        </w:tabs>
        <w:spacing w:line="480" w:lineRule="exact"/>
        <w:ind w:left="425"/>
        <w:outlineLvl w:val="0"/>
        <w:rPr>
          <w:rFonts w:hint="default" w:ascii="宋体" w:hAnsi="宋体" w:eastAsia="宋体" w:cs="宋体"/>
          <w:color w:val="000000"/>
          <w:sz w:val="24"/>
          <w:lang w:val="en-US" w:eastAsia="zh-CN" w:bidi="ar"/>
        </w:rPr>
      </w:pPr>
      <w:r>
        <w:rPr>
          <w:rFonts w:hint="eastAsia" w:ascii="宋体" w:hAnsi="宋体" w:cs="宋体"/>
          <w:color w:val="000000"/>
          <w:sz w:val="24"/>
          <w:lang w:bidi="ar"/>
        </w:rPr>
        <w:t>联系人：</w:t>
      </w:r>
      <w:r>
        <w:rPr>
          <w:rFonts w:hint="eastAsia" w:ascii="宋体" w:hAnsi="宋体" w:cs="宋体"/>
          <w:color w:val="000000"/>
          <w:sz w:val="24"/>
          <w:lang w:val="en-US" w:eastAsia="zh-CN" w:bidi="ar"/>
        </w:rPr>
        <w:t xml:space="preserve">        </w:t>
      </w:r>
    </w:p>
    <w:p>
      <w:pPr>
        <w:numPr>
          <w:ilvl w:val="0"/>
          <w:numId w:val="0"/>
        </w:numPr>
        <w:tabs>
          <w:tab w:val="left" w:pos="425"/>
        </w:tabs>
        <w:spacing w:line="480" w:lineRule="exact"/>
        <w:ind w:left="0" w:firstLine="480" w:firstLineChars="200"/>
        <w:outlineLvl w:val="0"/>
        <w:rPr>
          <w:rFonts w:ascii="宋体" w:hAnsi="宋体" w:cs="宋体"/>
          <w:color w:val="000000"/>
          <w:sz w:val="24"/>
          <w:lang w:bidi="ar"/>
        </w:rPr>
      </w:pPr>
      <w:r>
        <w:rPr>
          <w:rFonts w:hint="eastAsia" w:ascii="宋体" w:hAnsi="宋体" w:cs="宋体"/>
          <w:color w:val="000000"/>
          <w:sz w:val="24"/>
          <w:lang w:bidi="ar"/>
        </w:rPr>
        <w:t>1</w:t>
      </w:r>
      <w:r>
        <w:rPr>
          <w:rFonts w:ascii="宋体" w:hAnsi="宋体" w:cs="宋体"/>
          <w:color w:val="000000"/>
          <w:sz w:val="24"/>
          <w:lang w:bidi="ar"/>
        </w:rPr>
        <w:t>3.3</w:t>
      </w:r>
      <w:r>
        <w:rPr>
          <w:rFonts w:hint="eastAsia" w:ascii="宋体" w:hAnsi="宋体" w:cs="宋体"/>
          <w:color w:val="000000"/>
          <w:sz w:val="24"/>
          <w:lang w:bidi="ar"/>
        </w:rPr>
        <w:t xml:space="preserve"> 各方确认上述送达地址适用范围包括非诉时各类通知、协议等文件以及就协议发生纠纷时相关文件和法律文书的送达，同时包括在争议进入公证程序、仲裁、民事诉讼程序后的一审、二审、再审和执行程序。</w:t>
      </w:r>
    </w:p>
    <w:p>
      <w:pPr>
        <w:numPr>
          <w:ilvl w:val="0"/>
          <w:numId w:val="0"/>
        </w:numPr>
        <w:tabs>
          <w:tab w:val="left" w:pos="425"/>
        </w:tabs>
        <w:spacing w:line="480" w:lineRule="exact"/>
        <w:ind w:left="0" w:firstLine="480" w:firstLineChars="200"/>
        <w:outlineLvl w:val="0"/>
        <w:rPr>
          <w:rFonts w:ascii="宋体" w:hAnsi="宋体" w:cs="宋体"/>
          <w:color w:val="000000"/>
          <w:sz w:val="24"/>
          <w:lang w:bidi="ar"/>
        </w:rPr>
      </w:pPr>
      <w:r>
        <w:rPr>
          <w:rFonts w:ascii="宋体" w:hAnsi="宋体" w:cs="宋体"/>
          <w:color w:val="000000"/>
          <w:sz w:val="24"/>
          <w:lang w:bidi="ar"/>
        </w:rPr>
        <w:t>13.4</w:t>
      </w:r>
      <w:r>
        <w:rPr>
          <w:rFonts w:hint="eastAsia" w:ascii="宋体" w:hAnsi="宋体" w:cs="宋体"/>
          <w:color w:val="000000"/>
          <w:sz w:val="24"/>
          <w:lang w:bidi="ar"/>
        </w:rPr>
        <w:t>各方的送达地址需要变更时应当向对方履行书面的通知义务；仲裁及民事诉讼阶段当事人地址变更时应当向仲裁机构、人民法院履行送达地址变更通知义务。未履行以上通知义务的，各方确认的送达地址仍视为有效送达地址。</w:t>
      </w:r>
    </w:p>
    <w:p>
      <w:pPr>
        <w:tabs>
          <w:tab w:val="left" w:pos="425"/>
        </w:tabs>
        <w:spacing w:line="480" w:lineRule="exact"/>
        <w:ind w:firstLine="360" w:firstLineChars="150"/>
        <w:outlineLvl w:val="0"/>
        <w:rPr>
          <w:rFonts w:ascii="宋体" w:hAnsi="宋体" w:cs="宋体"/>
          <w:color w:val="000000"/>
          <w:sz w:val="24"/>
          <w:lang w:bidi="ar"/>
        </w:rPr>
      </w:pPr>
      <w:r>
        <w:rPr>
          <w:rFonts w:ascii="宋体" w:hAnsi="宋体" w:cs="宋体"/>
          <w:color w:val="000000"/>
          <w:sz w:val="24"/>
          <w:lang w:bidi="ar"/>
        </w:rPr>
        <w:t xml:space="preserve">13.5 </w:t>
      </w:r>
      <w:r>
        <w:rPr>
          <w:rFonts w:hint="eastAsia" w:ascii="宋体" w:hAnsi="宋体" w:cs="宋体"/>
          <w:color w:val="000000"/>
          <w:sz w:val="24"/>
          <w:lang w:bidi="ar"/>
        </w:rPr>
        <w:t>因以下情形导致法律文书未能被当事人接收的，依然产生送达的法律后果：</w:t>
      </w:r>
    </w:p>
    <w:p>
      <w:pPr>
        <w:numPr>
          <w:ilvl w:val="0"/>
          <w:numId w:val="0"/>
        </w:numPr>
        <w:tabs>
          <w:tab w:val="left" w:pos="425"/>
        </w:tabs>
        <w:spacing w:line="480" w:lineRule="exact"/>
        <w:ind w:left="0" w:firstLine="360" w:firstLineChars="150"/>
        <w:outlineLvl w:val="0"/>
        <w:rPr>
          <w:rFonts w:ascii="宋体" w:hAnsi="宋体" w:cs="宋体"/>
          <w:color w:val="000000"/>
          <w:sz w:val="24"/>
          <w:lang w:bidi="ar"/>
        </w:rPr>
      </w:pPr>
      <w:r>
        <w:rPr>
          <w:rFonts w:hint="eastAsia" w:ascii="宋体" w:hAnsi="宋体" w:cs="宋体"/>
          <w:color w:val="000000"/>
          <w:sz w:val="24"/>
          <w:lang w:bidi="ar"/>
        </w:rPr>
        <w:t>1</w:t>
      </w:r>
      <w:r>
        <w:rPr>
          <w:rFonts w:ascii="宋体" w:hAnsi="宋体" w:cs="宋体"/>
          <w:color w:val="000000"/>
          <w:sz w:val="24"/>
          <w:lang w:bidi="ar"/>
        </w:rPr>
        <w:t>3.5.1</w:t>
      </w:r>
      <w:r>
        <w:rPr>
          <w:rFonts w:hint="eastAsia" w:ascii="宋体" w:hAnsi="宋体" w:cs="宋体"/>
          <w:color w:val="000000"/>
          <w:sz w:val="24"/>
          <w:lang w:bidi="ar"/>
        </w:rPr>
        <w:t>因当事人提供或者确认的送达地址不准确的；</w:t>
      </w:r>
    </w:p>
    <w:p>
      <w:pPr>
        <w:numPr>
          <w:ilvl w:val="0"/>
          <w:numId w:val="0"/>
        </w:numPr>
        <w:tabs>
          <w:tab w:val="left" w:pos="425"/>
        </w:tabs>
        <w:spacing w:line="480" w:lineRule="exact"/>
        <w:ind w:left="0" w:firstLine="360" w:firstLineChars="150"/>
        <w:outlineLvl w:val="0"/>
        <w:rPr>
          <w:rFonts w:ascii="宋体" w:hAnsi="宋体" w:cs="宋体"/>
          <w:color w:val="000000"/>
          <w:sz w:val="24"/>
          <w:lang w:bidi="ar"/>
        </w:rPr>
      </w:pPr>
      <w:r>
        <w:rPr>
          <w:rFonts w:ascii="宋体" w:hAnsi="宋体" w:cs="宋体"/>
          <w:color w:val="000000"/>
          <w:sz w:val="24"/>
          <w:lang w:bidi="ar"/>
        </w:rPr>
        <w:t>13.5</w:t>
      </w:r>
      <w:r>
        <w:rPr>
          <w:rFonts w:hint="eastAsia" w:ascii="宋体" w:hAnsi="宋体" w:cs="宋体"/>
          <w:color w:val="000000"/>
          <w:sz w:val="24"/>
          <w:lang w:bidi="ar"/>
        </w:rPr>
        <w:t>.2 送达地址变更后未及时书面告知对方和仲裁机构、人民法院的；</w:t>
      </w:r>
    </w:p>
    <w:p>
      <w:pPr>
        <w:numPr>
          <w:ilvl w:val="0"/>
          <w:numId w:val="0"/>
        </w:numPr>
        <w:tabs>
          <w:tab w:val="left" w:pos="425"/>
        </w:tabs>
        <w:spacing w:line="480" w:lineRule="exact"/>
        <w:ind w:left="0" w:firstLine="360" w:firstLineChars="150"/>
        <w:outlineLvl w:val="0"/>
        <w:rPr>
          <w:rFonts w:ascii="宋体" w:hAnsi="宋体" w:cs="宋体"/>
          <w:color w:val="000000"/>
          <w:sz w:val="24"/>
          <w:lang w:bidi="ar"/>
        </w:rPr>
      </w:pPr>
      <w:r>
        <w:rPr>
          <w:rFonts w:ascii="宋体" w:hAnsi="宋体" w:cs="宋体"/>
          <w:color w:val="000000"/>
          <w:sz w:val="24"/>
          <w:lang w:bidi="ar"/>
        </w:rPr>
        <w:t>13.5</w:t>
      </w:r>
      <w:r>
        <w:rPr>
          <w:rFonts w:hint="eastAsia" w:ascii="宋体" w:hAnsi="宋体" w:cs="宋体"/>
          <w:color w:val="000000"/>
          <w:sz w:val="24"/>
          <w:lang w:bidi="ar"/>
        </w:rPr>
        <w:t>.3 当事人或有权签收人拒绝签收的。</w:t>
      </w:r>
    </w:p>
    <w:p>
      <w:pPr>
        <w:numPr>
          <w:ilvl w:val="0"/>
          <w:numId w:val="0"/>
        </w:numPr>
        <w:tabs>
          <w:tab w:val="left" w:pos="425"/>
        </w:tabs>
        <w:spacing w:line="480" w:lineRule="exact"/>
        <w:ind w:left="0" w:firstLine="360" w:firstLineChars="150"/>
        <w:outlineLvl w:val="0"/>
        <w:rPr>
          <w:rFonts w:ascii="宋体" w:hAnsi="宋体" w:cs="宋体"/>
          <w:color w:val="000000"/>
          <w:sz w:val="24"/>
          <w:lang w:bidi="ar"/>
        </w:rPr>
      </w:pPr>
      <w:r>
        <w:rPr>
          <w:rFonts w:hint="eastAsia" w:ascii="宋体" w:hAnsi="宋体" w:cs="宋体"/>
          <w:color w:val="000000"/>
          <w:sz w:val="24"/>
          <w:lang w:bidi="ar"/>
        </w:rPr>
        <w:t>发生上述情形时，邮寄送达的，以文书退回之日视为送达之日；直接送达的，送达人当场在送达回证上记明情况之日为送达之日。</w:t>
      </w:r>
    </w:p>
    <w:p>
      <w:pPr>
        <w:tabs>
          <w:tab w:val="left" w:pos="425"/>
        </w:tabs>
        <w:spacing w:line="480" w:lineRule="exact"/>
        <w:ind w:firstLine="360" w:firstLineChars="150"/>
        <w:outlineLvl w:val="0"/>
        <w:rPr>
          <w:rFonts w:ascii="宋体" w:hAnsi="宋体" w:cs="宋体"/>
          <w:color w:val="000000"/>
          <w:sz w:val="24"/>
          <w:lang w:bidi="ar"/>
        </w:rPr>
      </w:pPr>
      <w:r>
        <w:rPr>
          <w:rFonts w:ascii="宋体" w:hAnsi="宋体" w:cs="宋体"/>
          <w:color w:val="000000"/>
          <w:sz w:val="24"/>
          <w:lang w:bidi="ar"/>
        </w:rPr>
        <w:t>13.6</w:t>
      </w:r>
      <w:r>
        <w:rPr>
          <w:rFonts w:hint="eastAsia" w:ascii="宋体" w:hAnsi="宋体" w:cs="宋体"/>
          <w:color w:val="000000"/>
          <w:sz w:val="24"/>
          <w:lang w:bidi="ar"/>
        </w:rPr>
        <w:t xml:space="preserve"> 履行送达地址变更通知义务的，以变更后的送达地址为有效送达地址。对于上述当事人在协议中明确约定的送达地址，法院进行送达时可直接邮寄送达，即使当事人未能收到法院邮寄送达的文书，由于其在协议中的约定，也应当视为送达。</w:t>
      </w:r>
    </w:p>
    <w:p>
      <w:pPr>
        <w:tabs>
          <w:tab w:val="left" w:pos="425"/>
        </w:tabs>
        <w:spacing w:line="480" w:lineRule="exact"/>
        <w:ind w:firstLine="360" w:firstLineChars="150"/>
        <w:outlineLvl w:val="0"/>
        <w:rPr>
          <w:rFonts w:ascii="宋体" w:hAnsi="宋体" w:cs="宋体"/>
          <w:color w:val="000000"/>
          <w:sz w:val="24"/>
          <w:lang w:bidi="ar"/>
        </w:rPr>
      </w:pPr>
      <w:r>
        <w:rPr>
          <w:rFonts w:hint="eastAsia" w:ascii="宋体" w:hAnsi="宋体" w:cs="宋体"/>
          <w:color w:val="000000"/>
          <w:sz w:val="24"/>
          <w:lang w:bidi="ar"/>
        </w:rPr>
        <w:t>1</w:t>
      </w:r>
      <w:r>
        <w:rPr>
          <w:rFonts w:ascii="宋体" w:hAnsi="宋体" w:cs="宋体"/>
          <w:color w:val="000000"/>
          <w:sz w:val="24"/>
          <w:lang w:bidi="ar"/>
        </w:rPr>
        <w:t>3.7</w:t>
      </w:r>
      <w:r>
        <w:rPr>
          <w:rFonts w:hint="eastAsia" w:ascii="宋体" w:hAnsi="宋体" w:cs="宋体"/>
          <w:color w:val="000000"/>
          <w:sz w:val="24"/>
          <w:lang w:bidi="ar"/>
        </w:rPr>
        <w:t>纠纷进入仲裁、民事诉讼程序后，如当事人应诉并直接向仲裁机构、法院提交送达地址确认书，该确认地址与诉前确认的送达地址不一致的，以向仲裁机构、法院提交确认的送达地址为准。送达地址确认书中载明的送达地址为律师或委托代理人地址的，诉前确认的送达地址同时有效。</w:t>
      </w:r>
    </w:p>
    <w:p>
      <w:pPr>
        <w:numPr>
          <w:ilvl w:val="0"/>
          <w:numId w:val="0"/>
        </w:numPr>
        <w:tabs>
          <w:tab w:val="left" w:pos="425"/>
        </w:tabs>
        <w:spacing w:line="480" w:lineRule="exact"/>
        <w:ind w:left="0" w:firstLine="360" w:firstLineChars="150"/>
        <w:outlineLvl w:val="0"/>
        <w:rPr>
          <w:rFonts w:ascii="宋体" w:hAnsi="宋体" w:cs="宋体"/>
          <w:color w:val="000000"/>
          <w:sz w:val="24"/>
          <w:lang w:bidi="ar"/>
        </w:rPr>
      </w:pPr>
      <w:r>
        <w:rPr>
          <w:rFonts w:ascii="宋体" w:hAnsi="宋体" w:cs="宋体"/>
          <w:color w:val="000000"/>
          <w:sz w:val="24"/>
          <w:lang w:bidi="ar"/>
        </w:rPr>
        <w:t>13.8</w:t>
      </w:r>
      <w:r>
        <w:rPr>
          <w:rFonts w:hint="eastAsia" w:ascii="宋体" w:hAnsi="宋体" w:cs="宋体"/>
          <w:color w:val="000000"/>
          <w:sz w:val="24"/>
          <w:lang w:bidi="ar"/>
        </w:rPr>
        <w:t>本条之约定作为协议中独立存在的条款，不受协议其他条款效力的影响。</w:t>
      </w:r>
    </w:p>
    <w:bookmarkEnd w:id="250"/>
    <w:bookmarkEnd w:id="251"/>
    <w:p>
      <w:pPr>
        <w:numPr>
          <w:ilvl w:val="0"/>
          <w:numId w:val="2"/>
        </w:numPr>
        <w:spacing w:line="480" w:lineRule="exact"/>
        <w:ind w:left="0" w:firstLine="480"/>
        <w:outlineLvl w:val="0"/>
        <w:rPr>
          <w:rFonts w:ascii="宋体" w:hAnsi="宋体" w:cs="宋体"/>
          <w:b/>
          <w:color w:val="000000"/>
          <w:sz w:val="24"/>
        </w:rPr>
      </w:pPr>
      <w:bookmarkStart w:id="252" w:name="_Toc260836022"/>
      <w:bookmarkEnd w:id="252"/>
      <w:bookmarkStart w:id="253" w:name="_Toc174767297"/>
      <w:bookmarkStart w:id="254" w:name="_Toc155085491"/>
      <w:bookmarkStart w:id="255" w:name="_Toc379873871"/>
      <w:r>
        <w:rPr>
          <w:rFonts w:hint="eastAsia" w:ascii="宋体" w:hAnsi="宋体" w:cs="宋体"/>
          <w:b/>
          <w:color w:val="000000"/>
          <w:sz w:val="24"/>
          <w:lang w:bidi="ar"/>
        </w:rPr>
        <w:t>权利保留</w:t>
      </w:r>
      <w:bookmarkEnd w:id="253"/>
      <w:bookmarkEnd w:id="254"/>
      <w:bookmarkEnd w:id="255"/>
    </w:p>
    <w:p>
      <w:pPr>
        <w:numPr>
          <w:ilvl w:val="1"/>
          <w:numId w:val="2"/>
        </w:numPr>
        <w:spacing w:line="480" w:lineRule="exact"/>
        <w:ind w:left="0" w:firstLine="480"/>
        <w:rPr>
          <w:rFonts w:ascii="宋体" w:hAnsi="宋体" w:cs="宋体"/>
          <w:color w:val="000000"/>
          <w:sz w:val="24"/>
        </w:rPr>
      </w:pPr>
      <w:r>
        <w:rPr>
          <w:rFonts w:hint="eastAsia" w:ascii="宋体" w:hAnsi="宋体" w:cs="宋体"/>
          <w:color w:val="000000"/>
          <w:sz w:val="24"/>
          <w:lang w:bidi="ar"/>
        </w:rPr>
        <w:t>任何一方没有行使其权利或没有就对方的违约行为采取任何行动，不应被视为对权利的放弃或对追究违约责任或义务的放弃。任何一方放弃针对对方的任何权利或放弃追究对方的任何责任，不应视为放弃对对方任何其他权利或任何其他过失的追究。所有权利放弃均应书面做出。</w:t>
      </w:r>
    </w:p>
    <w:p>
      <w:pPr>
        <w:numPr>
          <w:ilvl w:val="1"/>
          <w:numId w:val="2"/>
        </w:numPr>
        <w:spacing w:line="480" w:lineRule="exact"/>
        <w:ind w:left="0" w:firstLine="480"/>
        <w:rPr>
          <w:rFonts w:ascii="宋体" w:hAnsi="宋体" w:cs="宋体"/>
          <w:color w:val="000000"/>
          <w:sz w:val="24"/>
        </w:rPr>
      </w:pPr>
      <w:r>
        <w:rPr>
          <w:rFonts w:hint="eastAsia" w:ascii="宋体" w:hAnsi="宋体" w:cs="宋体"/>
          <w:color w:val="000000"/>
          <w:sz w:val="24"/>
          <w:lang w:bidi="ar"/>
        </w:rPr>
        <w:t>如果本合同的任何约定依现行法律被确定为无效或无法实施，本合同的其他条款将继续有效。此种情况下，本合同的其他条款的合法性、有效性和强制执行力不受影响，且双方将以有效的约定替换该约定，且该有效约定应尽可能接近原约定和本合同相应的目的和精神。</w:t>
      </w:r>
    </w:p>
    <w:p>
      <w:pPr>
        <w:spacing w:line="480" w:lineRule="exact"/>
        <w:rPr>
          <w:rFonts w:ascii="宋体" w:hAnsi="宋体" w:cs="宋体"/>
          <w:color w:val="000000"/>
          <w:sz w:val="24"/>
        </w:rPr>
      </w:pPr>
    </w:p>
    <w:p>
      <w:pPr>
        <w:numPr>
          <w:ilvl w:val="0"/>
          <w:numId w:val="2"/>
        </w:numPr>
        <w:spacing w:line="480" w:lineRule="exact"/>
        <w:ind w:left="0" w:firstLine="480"/>
        <w:outlineLvl w:val="0"/>
        <w:rPr>
          <w:rFonts w:ascii="宋体" w:hAnsi="宋体" w:cs="宋体"/>
          <w:b/>
          <w:color w:val="000000"/>
          <w:sz w:val="24"/>
        </w:rPr>
      </w:pPr>
      <w:bookmarkStart w:id="256" w:name="_Toc261634303"/>
      <w:bookmarkEnd w:id="256"/>
      <w:bookmarkStart w:id="257" w:name="_Toc261634316"/>
      <w:bookmarkEnd w:id="257"/>
      <w:bookmarkStart w:id="258" w:name="_Toc261634275"/>
      <w:bookmarkEnd w:id="258"/>
      <w:bookmarkStart w:id="259" w:name="_Toc261634317"/>
      <w:bookmarkEnd w:id="259"/>
      <w:bookmarkStart w:id="260" w:name="_Toc261634263"/>
      <w:bookmarkEnd w:id="260"/>
      <w:bookmarkStart w:id="261" w:name="_Toc261634268"/>
      <w:bookmarkEnd w:id="261"/>
      <w:bookmarkStart w:id="262" w:name="_Toc261634267"/>
      <w:bookmarkEnd w:id="262"/>
      <w:bookmarkStart w:id="263" w:name="_Toc261634272"/>
      <w:bookmarkEnd w:id="263"/>
      <w:bookmarkStart w:id="264" w:name="_Toc261634266"/>
      <w:bookmarkEnd w:id="264"/>
      <w:bookmarkStart w:id="265" w:name="_Toc261634277"/>
      <w:bookmarkEnd w:id="265"/>
      <w:bookmarkStart w:id="266" w:name="_Toc261634279"/>
      <w:bookmarkEnd w:id="266"/>
      <w:bookmarkStart w:id="267" w:name="_Toc261634269"/>
      <w:bookmarkEnd w:id="267"/>
      <w:bookmarkStart w:id="268" w:name="_Toc261634271"/>
      <w:bookmarkEnd w:id="268"/>
      <w:bookmarkStart w:id="269" w:name="_Toc261634309"/>
      <w:bookmarkEnd w:id="269"/>
      <w:bookmarkStart w:id="270" w:name="_Toc261634304"/>
      <w:bookmarkEnd w:id="270"/>
      <w:bookmarkStart w:id="271" w:name="_Toc261634307"/>
      <w:bookmarkEnd w:id="271"/>
      <w:bookmarkStart w:id="272" w:name="_Toc261634314"/>
      <w:bookmarkEnd w:id="272"/>
      <w:bookmarkStart w:id="273" w:name="_Toc261634276"/>
      <w:bookmarkEnd w:id="273"/>
      <w:bookmarkStart w:id="274" w:name="_Toc261634305"/>
      <w:bookmarkEnd w:id="274"/>
      <w:bookmarkStart w:id="275" w:name="_Toc261634262"/>
      <w:bookmarkEnd w:id="275"/>
      <w:bookmarkStart w:id="276" w:name="_Toc261634301"/>
      <w:bookmarkEnd w:id="276"/>
      <w:bookmarkStart w:id="277" w:name="_Toc261634273"/>
      <w:bookmarkEnd w:id="277"/>
      <w:bookmarkStart w:id="278" w:name="_Toc260836024"/>
      <w:bookmarkEnd w:id="278"/>
      <w:bookmarkStart w:id="279" w:name="_Toc261634312"/>
      <w:bookmarkEnd w:id="279"/>
      <w:bookmarkStart w:id="280" w:name="_Toc261634313"/>
      <w:bookmarkEnd w:id="280"/>
      <w:bookmarkStart w:id="281" w:name="_Toc261634306"/>
      <w:bookmarkEnd w:id="281"/>
      <w:bookmarkStart w:id="282" w:name="_Toc260836028"/>
      <w:bookmarkEnd w:id="282"/>
      <w:bookmarkStart w:id="283" w:name="_Toc261634315"/>
      <w:bookmarkEnd w:id="283"/>
      <w:bookmarkStart w:id="284" w:name="_Toc261634278"/>
      <w:bookmarkEnd w:id="284"/>
      <w:bookmarkStart w:id="285" w:name="_Toc261634270"/>
      <w:bookmarkEnd w:id="285"/>
      <w:bookmarkStart w:id="286" w:name="_Toc261634311"/>
      <w:bookmarkEnd w:id="286"/>
      <w:bookmarkStart w:id="287" w:name="_Toc261634264"/>
      <w:bookmarkEnd w:id="287"/>
      <w:bookmarkStart w:id="288" w:name="_Toc261634310"/>
      <w:bookmarkEnd w:id="288"/>
      <w:bookmarkStart w:id="289" w:name="_Toc261634265"/>
      <w:bookmarkEnd w:id="289"/>
      <w:bookmarkStart w:id="290" w:name="_Toc261634318"/>
      <w:bookmarkEnd w:id="290"/>
      <w:bookmarkStart w:id="291" w:name="_Toc261634308"/>
      <w:bookmarkEnd w:id="291"/>
      <w:bookmarkStart w:id="292" w:name="_Toc261634274"/>
      <w:bookmarkEnd w:id="292"/>
      <w:bookmarkStart w:id="293" w:name="_Toc261634302"/>
      <w:bookmarkEnd w:id="293"/>
      <w:bookmarkStart w:id="294" w:name="_Toc260836026"/>
      <w:bookmarkEnd w:id="294"/>
      <w:bookmarkStart w:id="295" w:name="_Toc174767298"/>
      <w:bookmarkStart w:id="296" w:name="_Toc379873873"/>
      <w:bookmarkStart w:id="297" w:name="_Toc155085492"/>
      <w:bookmarkStart w:id="298" w:name="_Ref260735842"/>
      <w:r>
        <w:rPr>
          <w:rFonts w:hint="eastAsia" w:ascii="宋体" w:hAnsi="宋体" w:cs="宋体"/>
          <w:b/>
          <w:color w:val="000000"/>
          <w:sz w:val="24"/>
          <w:lang w:bidi="ar"/>
        </w:rPr>
        <w:t>法律适用与争议解决</w:t>
      </w:r>
      <w:bookmarkEnd w:id="295"/>
      <w:bookmarkEnd w:id="296"/>
      <w:bookmarkEnd w:id="297"/>
      <w:bookmarkEnd w:id="298"/>
    </w:p>
    <w:p>
      <w:pPr>
        <w:numPr>
          <w:ilvl w:val="1"/>
          <w:numId w:val="2"/>
        </w:numPr>
        <w:spacing w:line="480" w:lineRule="exact"/>
        <w:ind w:left="0" w:firstLine="480"/>
        <w:rPr>
          <w:rFonts w:ascii="宋体" w:hAnsi="宋体" w:cs="宋体"/>
          <w:color w:val="000000"/>
          <w:sz w:val="24"/>
        </w:rPr>
      </w:pPr>
      <w:r>
        <w:rPr>
          <w:rFonts w:hint="eastAsia" w:ascii="宋体" w:hAnsi="宋体" w:cs="宋体"/>
          <w:color w:val="000000"/>
          <w:sz w:val="24"/>
          <w:lang w:bidi="ar"/>
        </w:rPr>
        <w:t>本合同适用中华人民共和国现行法律、法规。</w:t>
      </w:r>
    </w:p>
    <w:p>
      <w:pPr>
        <w:numPr>
          <w:ilvl w:val="1"/>
          <w:numId w:val="2"/>
        </w:numPr>
        <w:spacing w:line="480" w:lineRule="exact"/>
        <w:ind w:left="0" w:firstLine="480"/>
        <w:rPr>
          <w:rFonts w:ascii="宋体" w:hAnsi="宋体" w:cs="宋体"/>
          <w:color w:val="000000"/>
          <w:sz w:val="24"/>
        </w:rPr>
      </w:pPr>
      <w:bookmarkStart w:id="299" w:name="_Ref260735890"/>
      <w:bookmarkStart w:id="300" w:name="_Ref225791133"/>
      <w:r>
        <w:rPr>
          <w:rFonts w:hint="eastAsia" w:ascii="宋体" w:hAnsi="宋体" w:cs="宋体"/>
          <w:color w:val="000000"/>
          <w:sz w:val="24"/>
          <w:lang w:bidi="ar"/>
        </w:rPr>
        <w:t>因本合同引起或与本合同有关的一切争议，各方均应友好协商解决；如果不能解决的，应由甲方所在地有管辖权的人民法院管辖。</w:t>
      </w:r>
      <w:bookmarkEnd w:id="299"/>
      <w:bookmarkEnd w:id="300"/>
    </w:p>
    <w:p>
      <w:pPr>
        <w:spacing w:line="480" w:lineRule="exact"/>
        <w:ind w:firstLine="480"/>
        <w:rPr>
          <w:rFonts w:ascii="宋体" w:hAnsi="宋体" w:cs="宋体"/>
          <w:color w:val="000000"/>
          <w:sz w:val="24"/>
        </w:rPr>
      </w:pPr>
    </w:p>
    <w:p>
      <w:pPr>
        <w:numPr>
          <w:ilvl w:val="0"/>
          <w:numId w:val="2"/>
        </w:numPr>
        <w:spacing w:line="480" w:lineRule="exact"/>
        <w:ind w:left="0" w:firstLine="480"/>
        <w:outlineLvl w:val="0"/>
        <w:rPr>
          <w:rFonts w:ascii="宋体" w:hAnsi="宋体" w:cs="宋体"/>
          <w:b/>
          <w:color w:val="000000"/>
          <w:sz w:val="24"/>
        </w:rPr>
      </w:pPr>
      <w:bookmarkStart w:id="301" w:name="_Toc260836030"/>
      <w:bookmarkEnd w:id="301"/>
      <w:bookmarkStart w:id="302" w:name="_Toc155085493"/>
      <w:bookmarkStart w:id="303" w:name="_Toc379873874"/>
      <w:bookmarkStart w:id="304" w:name="_Toc174767299"/>
      <w:r>
        <w:rPr>
          <w:rFonts w:hint="eastAsia" w:ascii="宋体" w:hAnsi="宋体" w:cs="宋体"/>
          <w:b/>
          <w:color w:val="000000"/>
          <w:sz w:val="24"/>
          <w:lang w:bidi="ar"/>
        </w:rPr>
        <w:t>合同生效</w:t>
      </w:r>
      <w:bookmarkEnd w:id="302"/>
      <w:bookmarkEnd w:id="303"/>
      <w:bookmarkEnd w:id="304"/>
    </w:p>
    <w:p>
      <w:pPr>
        <w:spacing w:line="480" w:lineRule="exact"/>
        <w:ind w:firstLine="480"/>
        <w:rPr>
          <w:rFonts w:ascii="宋体" w:hAnsi="宋体" w:cs="宋体"/>
          <w:color w:val="000000"/>
          <w:sz w:val="24"/>
        </w:rPr>
      </w:pPr>
      <w:r>
        <w:rPr>
          <w:rFonts w:hint="eastAsia" w:ascii="宋体" w:hAnsi="宋体" w:cs="宋体"/>
          <w:color w:val="000000"/>
          <w:sz w:val="24"/>
          <w:lang w:bidi="ar"/>
        </w:rPr>
        <w:t>本合同自各方签署之日起生效，如签署方为单位/机构，则为法定代表人/负责人/授权代表签章并加盖单位公章（或合同专用章），如签署方为个人则为签字。</w:t>
      </w:r>
    </w:p>
    <w:p>
      <w:pPr>
        <w:numPr>
          <w:ilvl w:val="0"/>
          <w:numId w:val="2"/>
        </w:numPr>
        <w:spacing w:line="480" w:lineRule="exact"/>
        <w:ind w:left="0" w:firstLine="480"/>
        <w:outlineLvl w:val="0"/>
        <w:rPr>
          <w:rFonts w:ascii="宋体" w:hAnsi="宋体" w:cs="宋体"/>
          <w:b/>
          <w:color w:val="000000"/>
          <w:sz w:val="24"/>
        </w:rPr>
      </w:pPr>
      <w:bookmarkStart w:id="305" w:name="_Toc154899877"/>
      <w:bookmarkEnd w:id="305"/>
      <w:bookmarkStart w:id="306" w:name="_Toc154899965"/>
      <w:bookmarkEnd w:id="306"/>
      <w:bookmarkStart w:id="307" w:name="_Toc154899879"/>
      <w:bookmarkEnd w:id="307"/>
      <w:bookmarkStart w:id="308" w:name="_Toc154899962"/>
      <w:bookmarkEnd w:id="308"/>
      <w:bookmarkStart w:id="309" w:name="_Toc154899876"/>
      <w:bookmarkEnd w:id="309"/>
      <w:bookmarkStart w:id="310" w:name="_Toc260836032"/>
      <w:bookmarkEnd w:id="310"/>
      <w:bookmarkStart w:id="311" w:name="_Toc154899964"/>
      <w:bookmarkEnd w:id="311"/>
      <w:bookmarkStart w:id="312" w:name="_Toc154899878"/>
      <w:bookmarkEnd w:id="312"/>
      <w:bookmarkStart w:id="313" w:name="_Toc154899963"/>
      <w:bookmarkEnd w:id="313"/>
      <w:bookmarkStart w:id="314" w:name="_Toc174767300"/>
      <w:bookmarkStart w:id="315" w:name="_Toc379873875"/>
      <w:bookmarkStart w:id="316" w:name="_Toc155085494"/>
      <w:r>
        <w:rPr>
          <w:rFonts w:hint="eastAsia" w:ascii="宋体" w:hAnsi="宋体" w:cs="宋体"/>
          <w:b/>
          <w:color w:val="000000"/>
          <w:sz w:val="24"/>
          <w:lang w:bidi="ar"/>
        </w:rPr>
        <w:t>合同文本</w:t>
      </w:r>
      <w:bookmarkEnd w:id="314"/>
      <w:bookmarkEnd w:id="315"/>
      <w:bookmarkEnd w:id="316"/>
    </w:p>
    <w:p>
      <w:pPr>
        <w:spacing w:line="480" w:lineRule="exact"/>
        <w:ind w:firstLine="480"/>
        <w:rPr>
          <w:rFonts w:ascii="宋体" w:hAnsi="宋体" w:cs="宋体"/>
          <w:color w:val="000000"/>
          <w:sz w:val="24"/>
          <w:lang w:bidi="ar"/>
        </w:rPr>
      </w:pPr>
      <w:r>
        <w:rPr>
          <w:rFonts w:hint="eastAsia" w:ascii="宋体" w:hAnsi="宋体" w:cs="宋体"/>
          <w:color w:val="000000"/>
          <w:sz w:val="24"/>
          <w:lang w:bidi="ar"/>
        </w:rPr>
        <w:t>本合同一式[陆]份，甲方执[肆]份、乙方执[贰]份，具有同等法律效力。</w:t>
      </w:r>
    </w:p>
    <w:p>
      <w:pPr>
        <w:pStyle w:val="20"/>
      </w:pPr>
    </w:p>
    <w:p>
      <w:pPr>
        <w:spacing w:line="480" w:lineRule="exact"/>
        <w:ind w:firstLine="480"/>
        <w:rPr>
          <w:rFonts w:ascii="宋体" w:hAnsi="宋体" w:cs="宋体"/>
          <w:b/>
          <w:color w:val="000000"/>
          <w:sz w:val="24"/>
        </w:rPr>
      </w:pPr>
      <w:r>
        <w:rPr>
          <w:rFonts w:hint="eastAsia" w:ascii="宋体" w:hAnsi="宋体" w:cs="宋体"/>
          <w:b/>
          <w:color w:val="000000"/>
          <w:sz w:val="24"/>
          <w:lang w:bidi="ar"/>
        </w:rPr>
        <w:t>（以下无正文）</w:t>
      </w:r>
    </w:p>
    <w:p>
      <w:pPr>
        <w:rPr>
          <w:rFonts w:ascii="宋体" w:hAnsi="宋体" w:cs="黑体"/>
          <w:b/>
          <w:color w:val="000000"/>
          <w:sz w:val="24"/>
          <w:lang w:bidi="ar"/>
        </w:rPr>
      </w:pPr>
      <w:bookmarkStart w:id="317" w:name="_Toc209780613"/>
      <w:bookmarkStart w:id="318" w:name="_Toc144551288"/>
      <w:r>
        <w:rPr>
          <w:rFonts w:hint="eastAsia" w:ascii="宋体" w:hAnsi="宋体" w:cs="黑体"/>
          <w:b/>
          <w:color w:val="000000"/>
          <w:sz w:val="24"/>
          <w:lang w:bidi="ar"/>
        </w:rPr>
        <w:br w:type="page"/>
      </w:r>
    </w:p>
    <w:p>
      <w:pPr>
        <w:tabs>
          <w:tab w:val="left" w:pos="425"/>
        </w:tabs>
        <w:spacing w:line="480" w:lineRule="exact"/>
        <w:outlineLvl w:val="0"/>
        <w:rPr>
          <w:rFonts w:ascii="宋体" w:hAnsi="宋体" w:cs="黑体"/>
          <w:b/>
          <w:color w:val="000000"/>
          <w:sz w:val="24"/>
        </w:rPr>
      </w:pPr>
      <w:r>
        <w:rPr>
          <w:rFonts w:hint="eastAsia" w:ascii="宋体" w:hAnsi="宋体" w:cs="黑体"/>
          <w:b/>
          <w:color w:val="000000"/>
          <w:sz w:val="24"/>
          <w:lang w:bidi="ar"/>
        </w:rPr>
        <w:t>（本页无正文，为编号[益航合字〔</w:t>
      </w:r>
      <w:r>
        <w:rPr>
          <w:rFonts w:hint="eastAsia" w:ascii="宋体" w:hAnsi="宋体" w:cs="黑体"/>
          <w:b/>
          <w:color w:val="000000"/>
          <w:sz w:val="24"/>
          <w:lang w:val="en-US" w:eastAsia="zh-CN" w:bidi="ar"/>
        </w:rPr>
        <w:t>2023</w:t>
      </w:r>
      <w:r>
        <w:rPr>
          <w:rFonts w:hint="eastAsia" w:ascii="宋体" w:hAnsi="宋体" w:cs="黑体"/>
          <w:b/>
          <w:color w:val="000000"/>
          <w:sz w:val="24"/>
          <w:lang w:bidi="ar"/>
        </w:rPr>
        <w:t>〕</w:t>
      </w:r>
      <w:r>
        <w:rPr>
          <w:rFonts w:hint="eastAsia" w:ascii="宋体" w:hAnsi="宋体" w:cs="黑体"/>
          <w:b/>
          <w:color w:val="000000"/>
          <w:sz w:val="24"/>
          <w:lang w:val="en-US" w:eastAsia="zh-CN" w:bidi="ar"/>
        </w:rPr>
        <w:t>XXX-XX</w:t>
      </w:r>
      <w:r>
        <w:rPr>
          <w:rFonts w:hint="eastAsia" w:ascii="宋体" w:hAnsi="宋体" w:cs="黑体"/>
          <w:b/>
          <w:color w:val="000000"/>
          <w:sz w:val="24"/>
          <w:lang w:bidi="ar"/>
        </w:rPr>
        <w:t>〔业〕号]的《债权转让合同》签署页</w:t>
      </w:r>
    </w:p>
    <w:p>
      <w:pPr>
        <w:spacing w:line="480" w:lineRule="exact"/>
        <w:ind w:firstLine="480"/>
        <w:jc w:val="left"/>
        <w:rPr>
          <w:rFonts w:ascii="宋体" w:hAnsi="宋体" w:cs="黑体"/>
          <w:color w:val="000000"/>
          <w:sz w:val="24"/>
        </w:rPr>
      </w:pPr>
    </w:p>
    <w:p>
      <w:pPr>
        <w:spacing w:line="480" w:lineRule="exact"/>
        <w:ind w:firstLine="480"/>
        <w:jc w:val="left"/>
        <w:rPr>
          <w:rFonts w:ascii="宋体" w:hAnsi="宋体" w:cs="黑体"/>
          <w:color w:val="000000"/>
          <w:sz w:val="24"/>
        </w:rPr>
      </w:pPr>
    </w:p>
    <w:p>
      <w:pPr>
        <w:spacing w:line="480" w:lineRule="exact"/>
        <w:ind w:firstLine="480"/>
        <w:jc w:val="left"/>
        <w:rPr>
          <w:rFonts w:ascii="宋体" w:hAnsi="宋体" w:cs="黑体"/>
          <w:color w:val="000000"/>
          <w:sz w:val="24"/>
        </w:rPr>
      </w:pPr>
    </w:p>
    <w:p>
      <w:pPr>
        <w:spacing w:line="480" w:lineRule="exact"/>
        <w:ind w:firstLine="480"/>
        <w:jc w:val="left"/>
        <w:rPr>
          <w:rFonts w:ascii="宋体" w:hAnsi="宋体" w:cs="黑体"/>
          <w:color w:val="000000"/>
          <w:sz w:val="24"/>
        </w:rPr>
      </w:pPr>
    </w:p>
    <w:p>
      <w:pPr>
        <w:spacing w:line="480" w:lineRule="exact"/>
        <w:ind w:firstLine="480"/>
        <w:jc w:val="left"/>
        <w:rPr>
          <w:rFonts w:ascii="宋体" w:hAnsi="宋体" w:cs="黑体"/>
          <w:b/>
          <w:color w:val="000000"/>
          <w:sz w:val="24"/>
          <w:lang w:bidi="ar"/>
        </w:rPr>
      </w:pPr>
      <w:r>
        <w:rPr>
          <w:rFonts w:hint="eastAsia" w:ascii="宋体" w:hAnsi="宋体" w:cs="黑体"/>
          <w:b/>
          <w:color w:val="000000"/>
          <w:sz w:val="24"/>
          <w:lang w:bidi="ar"/>
        </w:rPr>
        <w:t>甲方（盖章）：成都益航资产管理有限公司</w:t>
      </w:r>
    </w:p>
    <w:p>
      <w:pPr>
        <w:spacing w:line="480" w:lineRule="exact"/>
        <w:ind w:firstLine="480"/>
        <w:jc w:val="left"/>
        <w:rPr>
          <w:rFonts w:ascii="宋体" w:hAnsi="宋体" w:cs="宋体"/>
          <w:color w:val="000000"/>
          <w:sz w:val="24"/>
        </w:rPr>
      </w:pPr>
    </w:p>
    <w:p>
      <w:pPr>
        <w:spacing w:line="480" w:lineRule="exact"/>
        <w:ind w:firstLine="480"/>
        <w:jc w:val="left"/>
        <w:rPr>
          <w:rFonts w:ascii="宋体" w:hAnsi="宋体" w:cs="宋体"/>
          <w:color w:val="000000"/>
          <w:sz w:val="24"/>
        </w:rPr>
      </w:pPr>
      <w:r>
        <w:rPr>
          <w:rFonts w:hint="eastAsia" w:ascii="宋体" w:hAnsi="宋体" w:cs="宋体"/>
          <w:color w:val="000000"/>
          <w:sz w:val="24"/>
          <w:lang w:bidi="ar"/>
        </w:rPr>
        <w:t xml:space="preserve">法定代表人或授权代表（签字/签章）： </w:t>
      </w:r>
    </w:p>
    <w:p>
      <w:pPr>
        <w:spacing w:line="480" w:lineRule="exact"/>
        <w:ind w:firstLine="480"/>
        <w:jc w:val="left"/>
        <w:rPr>
          <w:rFonts w:ascii="宋体" w:hAnsi="宋体" w:cs="宋体"/>
          <w:color w:val="000000"/>
          <w:sz w:val="24"/>
        </w:rPr>
      </w:pPr>
    </w:p>
    <w:p>
      <w:pPr>
        <w:spacing w:line="480" w:lineRule="exact"/>
        <w:ind w:firstLine="480"/>
        <w:jc w:val="left"/>
        <w:rPr>
          <w:rFonts w:ascii="宋体" w:hAnsi="宋体" w:cs="宋体"/>
          <w:color w:val="000000"/>
          <w:sz w:val="24"/>
        </w:rPr>
      </w:pPr>
      <w:r>
        <w:rPr>
          <w:rFonts w:hint="eastAsia" w:ascii="宋体" w:hAnsi="宋体" w:cs="宋体"/>
          <w:color w:val="000000"/>
          <w:sz w:val="24"/>
          <w:lang w:bidi="ar"/>
        </w:rPr>
        <w:t>签署日期：</w:t>
      </w:r>
      <w:r>
        <w:rPr>
          <w:rFonts w:hint="eastAsia" w:ascii="宋体" w:hAnsi="宋体" w:cs="黑体"/>
          <w:color w:val="000000"/>
          <w:sz w:val="24"/>
          <w:lang w:bidi="ar"/>
        </w:rPr>
        <w:t>[</w:t>
      </w:r>
      <w:r>
        <w:rPr>
          <w:rFonts w:hint="eastAsia" w:ascii="宋体" w:hAnsi="宋体" w:cs="黑体"/>
          <w:color w:val="000000"/>
          <w:sz w:val="24"/>
          <w:u w:val="single"/>
          <w:lang w:bidi="ar"/>
        </w:rPr>
        <w:t xml:space="preserve">     </w:t>
      </w:r>
      <w:r>
        <w:rPr>
          <w:rFonts w:hint="eastAsia" w:ascii="宋体" w:hAnsi="宋体" w:cs="黑体"/>
          <w:color w:val="000000"/>
          <w:sz w:val="24"/>
          <w:lang w:bidi="ar"/>
        </w:rPr>
        <w:t>]</w:t>
      </w:r>
      <w:r>
        <w:rPr>
          <w:rFonts w:hint="eastAsia" w:ascii="宋体" w:hAnsi="宋体" w:cs="宋体"/>
          <w:color w:val="000000"/>
          <w:sz w:val="24"/>
          <w:lang w:bidi="ar"/>
        </w:rPr>
        <w:t>年</w:t>
      </w:r>
      <w:r>
        <w:rPr>
          <w:rFonts w:hint="eastAsia" w:ascii="宋体" w:hAnsi="宋体" w:cs="黑体"/>
          <w:color w:val="000000"/>
          <w:sz w:val="24"/>
          <w:lang w:bidi="ar"/>
        </w:rPr>
        <w:t>[</w:t>
      </w:r>
      <w:r>
        <w:rPr>
          <w:rFonts w:hint="eastAsia" w:ascii="宋体" w:hAnsi="宋体" w:cs="黑体"/>
          <w:color w:val="000000"/>
          <w:sz w:val="24"/>
          <w:u w:val="single"/>
          <w:lang w:bidi="ar"/>
        </w:rPr>
        <w:t xml:space="preserve">    </w:t>
      </w:r>
      <w:r>
        <w:rPr>
          <w:rFonts w:hint="eastAsia" w:ascii="宋体" w:hAnsi="宋体" w:cs="黑体"/>
          <w:color w:val="000000"/>
          <w:sz w:val="24"/>
          <w:lang w:bidi="ar"/>
        </w:rPr>
        <w:t>]</w:t>
      </w:r>
      <w:r>
        <w:rPr>
          <w:rFonts w:hint="eastAsia" w:ascii="宋体" w:hAnsi="宋体" w:cs="宋体"/>
          <w:color w:val="000000"/>
          <w:sz w:val="24"/>
          <w:lang w:bidi="ar"/>
        </w:rPr>
        <w:t>月</w:t>
      </w:r>
      <w:r>
        <w:rPr>
          <w:rFonts w:hint="eastAsia" w:ascii="宋体" w:hAnsi="宋体" w:cs="黑体"/>
          <w:color w:val="000000"/>
          <w:sz w:val="24"/>
          <w:lang w:bidi="ar"/>
        </w:rPr>
        <w:t>[</w:t>
      </w:r>
      <w:r>
        <w:rPr>
          <w:rFonts w:hint="eastAsia" w:ascii="宋体" w:hAnsi="宋体" w:cs="黑体"/>
          <w:color w:val="000000"/>
          <w:sz w:val="24"/>
          <w:u w:val="single"/>
          <w:lang w:bidi="ar"/>
        </w:rPr>
        <w:t xml:space="preserve">    </w:t>
      </w:r>
      <w:r>
        <w:rPr>
          <w:rFonts w:hint="eastAsia" w:ascii="宋体" w:hAnsi="宋体" w:cs="黑体"/>
          <w:color w:val="000000"/>
          <w:sz w:val="24"/>
          <w:lang w:bidi="ar"/>
        </w:rPr>
        <w:t>]</w:t>
      </w:r>
      <w:r>
        <w:rPr>
          <w:rFonts w:hint="eastAsia" w:ascii="宋体" w:hAnsi="宋体" w:cs="宋体"/>
          <w:color w:val="000000"/>
          <w:sz w:val="24"/>
          <w:lang w:bidi="ar"/>
        </w:rPr>
        <w:t>日</w:t>
      </w:r>
    </w:p>
    <w:p>
      <w:pPr>
        <w:spacing w:line="480" w:lineRule="exact"/>
        <w:ind w:firstLine="480"/>
        <w:jc w:val="left"/>
        <w:rPr>
          <w:rFonts w:ascii="宋体" w:hAnsi="宋体" w:cs="宋体"/>
          <w:color w:val="000000"/>
          <w:sz w:val="24"/>
        </w:rPr>
      </w:pPr>
    </w:p>
    <w:p>
      <w:pPr>
        <w:spacing w:line="480" w:lineRule="exact"/>
        <w:ind w:firstLine="480"/>
        <w:jc w:val="left"/>
        <w:rPr>
          <w:rFonts w:ascii="宋体" w:hAnsi="宋体" w:cs="宋体"/>
          <w:color w:val="000000"/>
          <w:sz w:val="24"/>
        </w:rPr>
      </w:pPr>
    </w:p>
    <w:p>
      <w:pPr>
        <w:spacing w:line="480" w:lineRule="exact"/>
        <w:ind w:firstLine="480"/>
        <w:jc w:val="left"/>
        <w:rPr>
          <w:rFonts w:ascii="宋体" w:hAnsi="宋体" w:cs="宋体"/>
          <w:color w:val="000000"/>
          <w:sz w:val="24"/>
        </w:rPr>
      </w:pPr>
    </w:p>
    <w:p>
      <w:pPr>
        <w:spacing w:line="480" w:lineRule="exact"/>
        <w:ind w:firstLine="480"/>
        <w:jc w:val="left"/>
        <w:rPr>
          <w:rFonts w:ascii="宋体" w:hAnsi="宋体" w:cs="宋体"/>
          <w:color w:val="000000"/>
          <w:sz w:val="24"/>
        </w:rPr>
      </w:pPr>
    </w:p>
    <w:p>
      <w:pPr>
        <w:spacing w:line="480" w:lineRule="exact"/>
        <w:ind w:firstLine="480"/>
        <w:jc w:val="left"/>
        <w:rPr>
          <w:rFonts w:ascii="宋体" w:hAnsi="宋体" w:cs="宋体"/>
          <w:color w:val="000000"/>
          <w:sz w:val="24"/>
        </w:rPr>
      </w:pPr>
      <w:r>
        <w:rPr>
          <w:rFonts w:hint="eastAsia" w:ascii="宋体" w:hAnsi="宋体" w:cs="黑体"/>
          <w:b/>
          <w:color w:val="000000"/>
          <w:sz w:val="24"/>
          <w:lang w:bidi="ar"/>
        </w:rPr>
        <w:t>乙方（盖章）：</w:t>
      </w:r>
      <w:r>
        <w:rPr>
          <w:rFonts w:hint="eastAsia" w:ascii="宋体" w:hAnsi="宋体" w:cs="黑体"/>
          <w:b/>
          <w:color w:val="000000"/>
          <w:sz w:val="24"/>
          <w:szCs w:val="24"/>
          <w:lang w:val="en-US" w:eastAsia="zh-CN" w:bidi="ar"/>
        </w:rPr>
        <w:t xml:space="preserve">                         </w:t>
      </w:r>
      <w:r>
        <w:rPr>
          <w:rFonts w:hint="eastAsia" w:ascii="宋体" w:hAnsi="宋体" w:cs="宋体"/>
          <w:b/>
          <w:color w:val="000000"/>
          <w:sz w:val="24"/>
          <w:lang w:bidi="ar"/>
        </w:rPr>
        <w:t xml:space="preserve"> </w:t>
      </w:r>
    </w:p>
    <w:p>
      <w:pPr>
        <w:spacing w:line="480" w:lineRule="exact"/>
        <w:ind w:firstLine="480"/>
        <w:jc w:val="left"/>
        <w:rPr>
          <w:rFonts w:ascii="宋体" w:hAnsi="宋体" w:cs="宋体"/>
          <w:color w:val="000000"/>
          <w:sz w:val="24"/>
          <w:lang w:bidi="ar"/>
        </w:rPr>
      </w:pPr>
      <w:r>
        <w:rPr>
          <w:rFonts w:hint="eastAsia" w:ascii="宋体" w:hAnsi="宋体" w:cs="宋体"/>
          <w:color w:val="000000"/>
          <w:sz w:val="24"/>
          <w:lang w:bidi="ar"/>
        </w:rPr>
        <w:t>法定代表人或授权代表（签字/签章）：</w:t>
      </w:r>
    </w:p>
    <w:p>
      <w:pPr>
        <w:spacing w:line="480" w:lineRule="exact"/>
        <w:ind w:firstLine="480"/>
        <w:rPr>
          <w:rFonts w:ascii="宋体" w:hAnsi="宋体" w:cs="宋体"/>
          <w:color w:val="000000"/>
          <w:sz w:val="24"/>
          <w:lang w:bidi="ar"/>
        </w:rPr>
      </w:pPr>
    </w:p>
    <w:p>
      <w:pPr>
        <w:spacing w:line="480" w:lineRule="exact"/>
        <w:ind w:firstLine="480"/>
        <w:rPr>
          <w:rFonts w:hint="eastAsia" w:ascii="宋体" w:hAnsi="宋体" w:cs="黑体"/>
          <w:color w:val="000000"/>
          <w:sz w:val="24"/>
          <w:lang w:bidi="ar"/>
        </w:rPr>
      </w:pPr>
      <w:r>
        <w:rPr>
          <w:rFonts w:hint="eastAsia" w:ascii="宋体" w:hAnsi="宋体" w:cs="宋体"/>
          <w:color w:val="000000"/>
          <w:sz w:val="24"/>
          <w:lang w:bidi="ar"/>
        </w:rPr>
        <w:t>签署日期：</w:t>
      </w:r>
      <w:r>
        <w:rPr>
          <w:rFonts w:hint="eastAsia" w:ascii="宋体" w:hAnsi="宋体" w:cs="黑体"/>
          <w:color w:val="000000"/>
          <w:sz w:val="24"/>
          <w:lang w:bidi="ar"/>
        </w:rPr>
        <w:t>[</w:t>
      </w:r>
      <w:r>
        <w:rPr>
          <w:rFonts w:hint="eastAsia" w:ascii="宋体" w:hAnsi="宋体" w:cs="黑体"/>
          <w:color w:val="000000"/>
          <w:sz w:val="24"/>
          <w:u w:val="single"/>
          <w:lang w:bidi="ar"/>
        </w:rPr>
        <w:t xml:space="preserve">     </w:t>
      </w:r>
      <w:r>
        <w:rPr>
          <w:rFonts w:hint="eastAsia" w:ascii="宋体" w:hAnsi="宋体" w:cs="黑体"/>
          <w:color w:val="000000"/>
          <w:sz w:val="24"/>
          <w:lang w:bidi="ar"/>
        </w:rPr>
        <w:t>]</w:t>
      </w:r>
      <w:r>
        <w:rPr>
          <w:rFonts w:hint="eastAsia" w:ascii="宋体" w:hAnsi="宋体" w:cs="宋体"/>
          <w:color w:val="000000"/>
          <w:sz w:val="24"/>
          <w:lang w:bidi="ar"/>
        </w:rPr>
        <w:t>年</w:t>
      </w:r>
      <w:r>
        <w:rPr>
          <w:rFonts w:hint="eastAsia" w:ascii="宋体" w:hAnsi="宋体" w:cs="黑体"/>
          <w:color w:val="000000"/>
          <w:sz w:val="24"/>
          <w:lang w:bidi="ar"/>
        </w:rPr>
        <w:t>[</w:t>
      </w:r>
      <w:r>
        <w:rPr>
          <w:rFonts w:hint="eastAsia" w:ascii="宋体" w:hAnsi="宋体" w:cs="黑体"/>
          <w:color w:val="000000"/>
          <w:sz w:val="24"/>
          <w:u w:val="single"/>
          <w:lang w:bidi="ar"/>
        </w:rPr>
        <w:t xml:space="preserve">    </w:t>
      </w:r>
      <w:r>
        <w:rPr>
          <w:rFonts w:hint="eastAsia" w:ascii="宋体" w:hAnsi="宋体" w:cs="黑体"/>
          <w:color w:val="000000"/>
          <w:sz w:val="24"/>
          <w:lang w:bidi="ar"/>
        </w:rPr>
        <w:t>]</w:t>
      </w:r>
      <w:r>
        <w:rPr>
          <w:rFonts w:hint="eastAsia" w:ascii="宋体" w:hAnsi="宋体" w:cs="宋体"/>
          <w:color w:val="000000"/>
          <w:sz w:val="24"/>
          <w:lang w:bidi="ar"/>
        </w:rPr>
        <w:t>月</w:t>
      </w:r>
      <w:r>
        <w:rPr>
          <w:rFonts w:hint="eastAsia" w:ascii="宋体" w:hAnsi="宋体" w:cs="黑体"/>
          <w:color w:val="000000"/>
          <w:sz w:val="24"/>
          <w:lang w:bidi="ar"/>
        </w:rPr>
        <w:t>[</w:t>
      </w:r>
      <w:r>
        <w:rPr>
          <w:rFonts w:hint="eastAsia" w:ascii="宋体" w:hAnsi="宋体" w:cs="黑体"/>
          <w:color w:val="000000"/>
          <w:sz w:val="24"/>
          <w:u w:val="single"/>
          <w:lang w:bidi="ar"/>
        </w:rPr>
        <w:t xml:space="preserve">    </w:t>
      </w:r>
      <w:r>
        <w:rPr>
          <w:rFonts w:hint="eastAsia" w:ascii="宋体" w:hAnsi="宋体" w:cs="黑体"/>
          <w:color w:val="000000"/>
          <w:sz w:val="24"/>
          <w:lang w:bidi="ar"/>
        </w:rPr>
        <w:t>]</w:t>
      </w:r>
      <w:bookmarkEnd w:id="317"/>
      <w:bookmarkEnd w:id="318"/>
    </w:p>
    <w:p>
      <w:pPr>
        <w:spacing w:line="480" w:lineRule="exact"/>
        <w:ind w:firstLine="480"/>
        <w:rPr>
          <w:rFonts w:hint="eastAsia" w:ascii="宋体" w:hAnsi="宋体" w:cs="黑体"/>
          <w:color w:val="000000"/>
          <w:sz w:val="24"/>
          <w:lang w:bidi="ar"/>
        </w:rPr>
      </w:pPr>
    </w:p>
    <w:p>
      <w:pPr>
        <w:spacing w:line="480" w:lineRule="exact"/>
        <w:ind w:firstLine="480"/>
        <w:rPr>
          <w:rFonts w:hint="eastAsia" w:ascii="宋体" w:hAnsi="宋体" w:cs="黑体"/>
          <w:color w:val="000000"/>
          <w:sz w:val="24"/>
          <w:lang w:bidi="ar"/>
        </w:rPr>
      </w:pPr>
    </w:p>
    <w:p>
      <w:pPr>
        <w:spacing w:line="480" w:lineRule="exact"/>
        <w:ind w:firstLine="480"/>
        <w:rPr>
          <w:rFonts w:hint="eastAsia" w:ascii="宋体" w:hAnsi="宋体" w:cs="黑体"/>
          <w:color w:val="000000"/>
          <w:sz w:val="24"/>
          <w:lang w:bidi="ar"/>
        </w:rPr>
      </w:pPr>
    </w:p>
    <w:p>
      <w:pPr>
        <w:spacing w:line="480" w:lineRule="exact"/>
        <w:ind w:firstLine="480"/>
        <w:rPr>
          <w:rFonts w:hint="eastAsia" w:ascii="宋体" w:hAnsi="宋体" w:cs="黑体"/>
          <w:color w:val="000000"/>
          <w:sz w:val="24"/>
          <w:lang w:bidi="ar"/>
        </w:rPr>
      </w:pPr>
    </w:p>
    <w:p>
      <w:pPr>
        <w:spacing w:line="480" w:lineRule="exact"/>
        <w:ind w:firstLine="480"/>
        <w:rPr>
          <w:rFonts w:hint="eastAsia" w:ascii="宋体" w:hAnsi="宋体" w:cs="黑体"/>
          <w:color w:val="000000"/>
          <w:sz w:val="24"/>
          <w:lang w:bidi="ar"/>
        </w:rPr>
      </w:pPr>
    </w:p>
    <w:p>
      <w:pPr>
        <w:spacing w:line="480" w:lineRule="exact"/>
        <w:ind w:firstLine="480"/>
        <w:rPr>
          <w:rFonts w:hint="eastAsia" w:ascii="宋体" w:hAnsi="宋体" w:cs="黑体"/>
          <w:color w:val="000000"/>
          <w:sz w:val="24"/>
          <w:lang w:bidi="ar"/>
        </w:rPr>
      </w:pPr>
    </w:p>
    <w:p>
      <w:pPr>
        <w:spacing w:line="480" w:lineRule="exact"/>
        <w:ind w:firstLine="480"/>
        <w:rPr>
          <w:rFonts w:hint="eastAsia" w:ascii="宋体" w:hAnsi="宋体" w:cs="黑体"/>
          <w:color w:val="000000"/>
          <w:sz w:val="24"/>
          <w:lang w:bidi="ar"/>
        </w:rPr>
      </w:pPr>
    </w:p>
    <w:p>
      <w:pPr>
        <w:spacing w:line="480" w:lineRule="exact"/>
        <w:ind w:firstLine="480"/>
        <w:rPr>
          <w:rFonts w:hint="eastAsia" w:ascii="宋体" w:hAnsi="宋体" w:cs="黑体"/>
          <w:color w:val="000000"/>
          <w:sz w:val="24"/>
          <w:lang w:bidi="ar"/>
        </w:rPr>
      </w:pPr>
    </w:p>
    <w:p>
      <w:pPr>
        <w:spacing w:line="480" w:lineRule="exact"/>
        <w:ind w:firstLine="480"/>
        <w:rPr>
          <w:rFonts w:hint="eastAsia" w:ascii="宋体" w:hAnsi="宋体" w:cs="黑体"/>
          <w:color w:val="000000"/>
          <w:sz w:val="24"/>
          <w:lang w:bidi="ar"/>
        </w:rPr>
      </w:pPr>
    </w:p>
    <w:p>
      <w:pPr>
        <w:spacing w:after="0" w:line="560" w:lineRule="exact"/>
        <w:ind w:firstLine="640" w:firstLineChars="200"/>
        <w:rPr>
          <w:rFonts w:ascii="仿宋_GB2312" w:hAnsi="宋体" w:eastAsia="仿宋_GB2312"/>
          <w:color w:val="auto"/>
          <w:kern w:val="2"/>
          <w:sz w:val="32"/>
          <w:szCs w:val="32"/>
          <w:highlight w:val="none"/>
        </w:rPr>
      </w:pPr>
      <w:r>
        <w:rPr>
          <w:rFonts w:hint="eastAsia" w:ascii="仿宋_GB2312" w:hAnsi="宋体" w:eastAsia="仿宋_GB2312"/>
          <w:color w:val="auto"/>
          <w:kern w:val="2"/>
          <w:sz w:val="32"/>
          <w:szCs w:val="32"/>
          <w:highlight w:val="none"/>
        </w:rPr>
        <w:t>附：1-1 债权资产明细表</w:t>
      </w:r>
    </w:p>
    <w:p>
      <w:pPr>
        <w:spacing w:after="0" w:line="560" w:lineRule="exact"/>
        <w:ind w:firstLine="1280" w:firstLineChars="400"/>
        <w:rPr>
          <w:rFonts w:ascii="仿宋_GB2312" w:hAnsi="宋体" w:eastAsia="仿宋_GB2312"/>
          <w:color w:val="auto"/>
          <w:kern w:val="2"/>
          <w:sz w:val="32"/>
          <w:szCs w:val="32"/>
          <w:highlight w:val="none"/>
        </w:rPr>
      </w:pPr>
      <w:r>
        <w:rPr>
          <w:rFonts w:hint="eastAsia" w:ascii="仿宋_GB2312" w:hAnsi="宋体" w:eastAsia="仿宋_GB2312"/>
          <w:color w:val="auto"/>
          <w:kern w:val="2"/>
          <w:sz w:val="32"/>
          <w:szCs w:val="32"/>
          <w:highlight w:val="none"/>
        </w:rPr>
        <w:t>1-2 物权资产明细表</w:t>
      </w:r>
    </w:p>
    <w:p>
      <w:pPr>
        <w:spacing w:after="0" w:line="560" w:lineRule="exact"/>
        <w:ind w:firstLine="1280" w:firstLineChars="400"/>
        <w:rPr>
          <w:rFonts w:ascii="仿宋_GB2312" w:hAnsi="宋体" w:eastAsia="仿宋_GB2312"/>
          <w:color w:val="auto"/>
          <w:kern w:val="2"/>
          <w:sz w:val="32"/>
          <w:szCs w:val="32"/>
          <w:highlight w:val="none"/>
        </w:rPr>
      </w:pPr>
      <w:r>
        <w:rPr>
          <w:rFonts w:hint="eastAsia" w:ascii="仿宋_GB2312" w:hAnsi="宋体" w:eastAsia="仿宋_GB2312"/>
          <w:color w:val="auto"/>
          <w:kern w:val="2"/>
          <w:sz w:val="32"/>
          <w:szCs w:val="32"/>
          <w:highlight w:val="none"/>
        </w:rPr>
        <w:t>1-3 股权资产明细表</w:t>
      </w:r>
    </w:p>
    <w:p>
      <w:pPr>
        <w:spacing w:line="360" w:lineRule="auto"/>
        <w:ind w:firstLine="480" w:firstLineChars="200"/>
        <w:rPr>
          <w:rFonts w:ascii="宋体" w:hAnsi="宋体"/>
          <w:color w:val="auto"/>
          <w:sz w:val="24"/>
          <w:highlight w:val="none"/>
        </w:rPr>
        <w:sectPr>
          <w:footerReference r:id="rId3" w:type="default"/>
          <w:pgSz w:w="11906" w:h="16838"/>
          <w:pgMar w:top="1434" w:right="1489" w:bottom="1434" w:left="1797" w:header="851" w:footer="992" w:gutter="0"/>
          <w:cols w:space="720" w:num="1"/>
          <w:docGrid w:type="linesAndChars" w:linePitch="312" w:charSpace="0"/>
        </w:sectPr>
      </w:pPr>
    </w:p>
    <w:p>
      <w:pPr>
        <w:spacing w:after="0" w:line="240" w:lineRule="auto"/>
        <w:rPr>
          <w:rFonts w:hint="eastAsia" w:ascii="仿宋" w:hAnsi="仿宋" w:eastAsia="仿宋" w:cs="仿宋"/>
          <w:color w:val="auto"/>
          <w:kern w:val="2"/>
          <w:sz w:val="20"/>
          <w:szCs w:val="20"/>
          <w:highlight w:val="none"/>
        </w:rPr>
      </w:pPr>
      <w:r>
        <w:rPr>
          <w:rFonts w:hint="eastAsia" w:ascii="仿宋" w:hAnsi="仿宋" w:eastAsia="仿宋" w:cs="仿宋"/>
          <w:color w:val="auto"/>
          <w:kern w:val="2"/>
          <w:sz w:val="20"/>
          <w:szCs w:val="20"/>
          <w:highlight w:val="none"/>
        </w:rPr>
        <w:t>附1-1</w:t>
      </w:r>
    </w:p>
    <w:p>
      <w:pPr>
        <w:spacing w:after="0" w:line="240" w:lineRule="auto"/>
        <w:jc w:val="center"/>
        <w:rPr>
          <w:rFonts w:hint="eastAsia" w:ascii="仿宋" w:hAnsi="仿宋" w:eastAsia="仿宋" w:cs="仿宋"/>
          <w:color w:val="auto"/>
          <w:kern w:val="2"/>
          <w:sz w:val="28"/>
          <w:szCs w:val="20"/>
          <w:highlight w:val="none"/>
        </w:rPr>
      </w:pPr>
      <w:r>
        <w:rPr>
          <w:rFonts w:hint="eastAsia" w:ascii="仿宋" w:hAnsi="仿宋" w:eastAsia="仿宋" w:cs="仿宋"/>
          <w:color w:val="auto"/>
          <w:kern w:val="2"/>
          <w:sz w:val="28"/>
          <w:szCs w:val="20"/>
          <w:highlight w:val="none"/>
        </w:rPr>
        <w:t>债权资产明细表</w:t>
      </w:r>
    </w:p>
    <w:p>
      <w:pPr>
        <w:spacing w:after="0" w:line="240" w:lineRule="auto"/>
        <w:jc w:val="right"/>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rPr>
        <w:t>基准日：</w:t>
      </w:r>
      <w:r>
        <w:rPr>
          <w:rFonts w:hint="eastAsia" w:ascii="仿宋" w:hAnsi="仿宋" w:eastAsia="仿宋" w:cs="仿宋"/>
          <w:color w:val="auto"/>
          <w:kern w:val="2"/>
          <w:szCs w:val="20"/>
          <w:highlight w:val="none"/>
          <w:lang w:val="en-US" w:eastAsia="zh-CN"/>
        </w:rPr>
        <w:t>2023年09月30日</w:t>
      </w:r>
      <w:r>
        <w:rPr>
          <w:rFonts w:hint="eastAsia" w:ascii="仿宋" w:hAnsi="仿宋" w:eastAsia="仿宋" w:cs="仿宋"/>
          <w:color w:val="auto"/>
          <w:kern w:val="2"/>
          <w:szCs w:val="20"/>
          <w:highlight w:val="none"/>
        </w:rPr>
        <w:t>单位：元</w:t>
      </w:r>
    </w:p>
    <w:tbl>
      <w:tblPr>
        <w:tblStyle w:val="33"/>
        <w:tblpPr w:leftFromText="180" w:rightFromText="180" w:vertAnchor="text" w:horzAnchor="page" w:tblpX="1787" w:tblpY="314"/>
        <w:tblOverlap w:val="never"/>
        <w:tblW w:w="852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3"/>
        <w:gridCol w:w="488"/>
        <w:gridCol w:w="444"/>
        <w:gridCol w:w="1618"/>
        <w:gridCol w:w="1619"/>
        <w:gridCol w:w="1618"/>
        <w:gridCol w:w="1875"/>
        <w:gridCol w:w="4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433" w:type="dxa"/>
            <w:vMerge w:val="restart"/>
            <w:vAlign w:val="center"/>
          </w:tcPr>
          <w:p>
            <w:pPr>
              <w:spacing w:after="0" w:line="240" w:lineRule="auto"/>
              <w:jc w:val="center"/>
              <w:rPr>
                <w:rFonts w:hint="eastAsia" w:ascii="仿宋" w:hAnsi="仿宋" w:eastAsia="仿宋" w:cs="仿宋"/>
                <w:b/>
                <w:bCs/>
                <w:color w:val="auto"/>
                <w:kern w:val="2"/>
                <w:szCs w:val="20"/>
                <w:highlight w:val="none"/>
              </w:rPr>
            </w:pPr>
            <w:r>
              <w:rPr>
                <w:rFonts w:hint="eastAsia" w:ascii="仿宋" w:hAnsi="仿宋" w:eastAsia="仿宋" w:cs="仿宋"/>
                <w:b/>
                <w:bCs/>
                <w:color w:val="auto"/>
                <w:kern w:val="2"/>
                <w:szCs w:val="20"/>
                <w:highlight w:val="none"/>
              </w:rPr>
              <w:t>序号</w:t>
            </w:r>
          </w:p>
        </w:tc>
        <w:tc>
          <w:tcPr>
            <w:tcW w:w="488" w:type="dxa"/>
            <w:vMerge w:val="restart"/>
            <w:vAlign w:val="center"/>
          </w:tcPr>
          <w:p>
            <w:pPr>
              <w:spacing w:after="0" w:line="240" w:lineRule="auto"/>
              <w:jc w:val="center"/>
              <w:rPr>
                <w:rFonts w:hint="eastAsia" w:ascii="仿宋" w:hAnsi="仿宋" w:eastAsia="仿宋" w:cs="仿宋"/>
                <w:b/>
                <w:bCs/>
                <w:color w:val="auto"/>
                <w:kern w:val="2"/>
                <w:szCs w:val="20"/>
                <w:highlight w:val="none"/>
              </w:rPr>
            </w:pPr>
            <w:r>
              <w:rPr>
                <w:rFonts w:hint="eastAsia" w:ascii="仿宋" w:hAnsi="仿宋" w:eastAsia="仿宋" w:cs="仿宋"/>
                <w:b/>
                <w:bCs/>
                <w:color w:val="auto"/>
                <w:kern w:val="2"/>
                <w:szCs w:val="20"/>
                <w:highlight w:val="none"/>
              </w:rPr>
              <w:t>债务人名称</w:t>
            </w:r>
          </w:p>
        </w:tc>
        <w:tc>
          <w:tcPr>
            <w:tcW w:w="444" w:type="dxa"/>
            <w:vMerge w:val="restart"/>
            <w:vAlign w:val="center"/>
          </w:tcPr>
          <w:p>
            <w:pPr>
              <w:spacing w:after="0" w:line="240" w:lineRule="auto"/>
              <w:jc w:val="center"/>
              <w:rPr>
                <w:rFonts w:hint="eastAsia" w:ascii="仿宋" w:hAnsi="仿宋" w:eastAsia="仿宋" w:cs="仿宋"/>
                <w:b/>
                <w:bCs/>
                <w:color w:val="auto"/>
                <w:kern w:val="2"/>
                <w:szCs w:val="20"/>
                <w:highlight w:val="none"/>
              </w:rPr>
            </w:pPr>
            <w:r>
              <w:rPr>
                <w:rFonts w:hint="eastAsia" w:ascii="仿宋" w:hAnsi="仿宋" w:eastAsia="仿宋" w:cs="仿宋"/>
                <w:b/>
                <w:bCs/>
                <w:color w:val="auto"/>
                <w:kern w:val="2"/>
                <w:szCs w:val="20"/>
                <w:highlight w:val="none"/>
              </w:rPr>
              <w:t>风险分类</w:t>
            </w:r>
          </w:p>
        </w:tc>
        <w:tc>
          <w:tcPr>
            <w:tcW w:w="4855" w:type="dxa"/>
            <w:gridSpan w:val="3"/>
            <w:vAlign w:val="center"/>
          </w:tcPr>
          <w:p>
            <w:pPr>
              <w:spacing w:after="0" w:line="240" w:lineRule="auto"/>
              <w:jc w:val="center"/>
              <w:rPr>
                <w:rFonts w:hint="eastAsia" w:ascii="仿宋" w:hAnsi="仿宋" w:eastAsia="仿宋" w:cs="仿宋"/>
                <w:b/>
                <w:bCs/>
                <w:color w:val="auto"/>
                <w:kern w:val="2"/>
                <w:szCs w:val="20"/>
                <w:highlight w:val="none"/>
              </w:rPr>
            </w:pPr>
            <w:r>
              <w:rPr>
                <w:rFonts w:hint="eastAsia" w:ascii="仿宋" w:hAnsi="仿宋" w:eastAsia="仿宋" w:cs="仿宋"/>
                <w:b/>
                <w:bCs/>
                <w:color w:val="auto"/>
                <w:kern w:val="2"/>
                <w:szCs w:val="20"/>
                <w:highlight w:val="none"/>
              </w:rPr>
              <w:t>金额</w:t>
            </w:r>
          </w:p>
        </w:tc>
        <w:tc>
          <w:tcPr>
            <w:tcW w:w="1875" w:type="dxa"/>
            <w:vMerge w:val="restart"/>
            <w:vAlign w:val="center"/>
          </w:tcPr>
          <w:p>
            <w:pPr>
              <w:spacing w:after="0" w:line="240" w:lineRule="auto"/>
              <w:jc w:val="center"/>
              <w:rPr>
                <w:rFonts w:hint="eastAsia" w:ascii="仿宋" w:hAnsi="仿宋" w:eastAsia="仿宋" w:cs="仿宋"/>
                <w:b/>
                <w:bCs/>
                <w:color w:val="auto"/>
                <w:kern w:val="2"/>
                <w:sz w:val="15"/>
                <w:szCs w:val="15"/>
                <w:highlight w:val="none"/>
              </w:rPr>
            </w:pPr>
            <w:r>
              <w:rPr>
                <w:rFonts w:hint="eastAsia" w:ascii="仿宋" w:hAnsi="仿宋" w:eastAsia="仿宋" w:cs="仿宋"/>
                <w:b/>
                <w:bCs/>
                <w:color w:val="auto"/>
                <w:kern w:val="2"/>
                <w:sz w:val="15"/>
                <w:szCs w:val="15"/>
                <w:highlight w:val="none"/>
              </w:rPr>
              <w:t>担保情况</w:t>
            </w:r>
          </w:p>
        </w:tc>
        <w:tc>
          <w:tcPr>
            <w:tcW w:w="433" w:type="dxa"/>
            <w:vMerge w:val="restart"/>
            <w:vAlign w:val="center"/>
          </w:tcPr>
          <w:p>
            <w:pPr>
              <w:spacing w:after="0" w:line="240" w:lineRule="auto"/>
              <w:jc w:val="center"/>
              <w:rPr>
                <w:rFonts w:hint="eastAsia" w:ascii="仿宋" w:hAnsi="仿宋" w:eastAsia="仿宋" w:cs="仿宋"/>
                <w:b/>
                <w:bCs/>
                <w:color w:val="auto"/>
                <w:kern w:val="2"/>
                <w:szCs w:val="20"/>
                <w:highlight w:val="none"/>
              </w:rPr>
            </w:pPr>
            <w:r>
              <w:rPr>
                <w:rFonts w:hint="eastAsia" w:ascii="仿宋" w:hAnsi="仿宋" w:eastAsia="仿宋" w:cs="仿宋"/>
                <w:b/>
                <w:bCs/>
                <w:color w:val="auto"/>
                <w:kern w:val="2"/>
                <w:szCs w:val="20"/>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3" w:type="dxa"/>
            <w:vMerge w:val="continue"/>
          </w:tcPr>
          <w:p>
            <w:pPr>
              <w:spacing w:after="0" w:line="240" w:lineRule="auto"/>
              <w:jc w:val="center"/>
              <w:rPr>
                <w:rFonts w:hint="eastAsia" w:ascii="仿宋" w:hAnsi="仿宋" w:eastAsia="仿宋" w:cs="仿宋"/>
                <w:color w:val="auto"/>
                <w:kern w:val="2"/>
                <w:szCs w:val="20"/>
                <w:highlight w:val="none"/>
              </w:rPr>
            </w:pPr>
          </w:p>
        </w:tc>
        <w:tc>
          <w:tcPr>
            <w:tcW w:w="488" w:type="dxa"/>
            <w:vMerge w:val="continue"/>
          </w:tcPr>
          <w:p>
            <w:pPr>
              <w:spacing w:after="0" w:line="240" w:lineRule="auto"/>
              <w:jc w:val="center"/>
              <w:rPr>
                <w:rFonts w:hint="eastAsia" w:ascii="仿宋" w:hAnsi="仿宋" w:eastAsia="仿宋" w:cs="仿宋"/>
                <w:color w:val="auto"/>
                <w:kern w:val="2"/>
                <w:szCs w:val="20"/>
                <w:highlight w:val="none"/>
              </w:rPr>
            </w:pPr>
          </w:p>
        </w:tc>
        <w:tc>
          <w:tcPr>
            <w:tcW w:w="444" w:type="dxa"/>
            <w:vMerge w:val="continue"/>
          </w:tcPr>
          <w:p>
            <w:pPr>
              <w:spacing w:after="0" w:line="240" w:lineRule="auto"/>
              <w:jc w:val="center"/>
              <w:rPr>
                <w:rFonts w:hint="eastAsia" w:ascii="仿宋" w:hAnsi="仿宋" w:eastAsia="仿宋" w:cs="仿宋"/>
                <w:color w:val="auto"/>
                <w:kern w:val="2"/>
                <w:szCs w:val="20"/>
                <w:highlight w:val="none"/>
              </w:rPr>
            </w:pPr>
          </w:p>
        </w:tc>
        <w:tc>
          <w:tcPr>
            <w:tcW w:w="1618" w:type="dxa"/>
          </w:tcPr>
          <w:p>
            <w:pPr>
              <w:spacing w:after="0" w:line="240" w:lineRule="auto"/>
              <w:jc w:val="center"/>
              <w:rPr>
                <w:rFonts w:hint="eastAsia" w:ascii="仿宋" w:hAnsi="仿宋" w:eastAsia="仿宋" w:cs="仿宋"/>
                <w:b/>
                <w:bCs/>
                <w:color w:val="auto"/>
                <w:kern w:val="2"/>
                <w:szCs w:val="20"/>
                <w:highlight w:val="none"/>
              </w:rPr>
            </w:pPr>
            <w:r>
              <w:rPr>
                <w:rFonts w:hint="eastAsia" w:ascii="仿宋" w:hAnsi="仿宋" w:eastAsia="仿宋" w:cs="仿宋"/>
                <w:b/>
                <w:bCs/>
                <w:color w:val="auto"/>
                <w:kern w:val="2"/>
                <w:szCs w:val="20"/>
                <w:highlight w:val="none"/>
              </w:rPr>
              <w:t>本金</w:t>
            </w:r>
          </w:p>
        </w:tc>
        <w:tc>
          <w:tcPr>
            <w:tcW w:w="1619" w:type="dxa"/>
          </w:tcPr>
          <w:p>
            <w:pPr>
              <w:spacing w:after="0" w:line="240" w:lineRule="auto"/>
              <w:jc w:val="center"/>
              <w:rPr>
                <w:rFonts w:hint="eastAsia" w:ascii="仿宋" w:hAnsi="仿宋" w:eastAsia="仿宋" w:cs="仿宋"/>
                <w:b/>
                <w:bCs/>
                <w:color w:val="auto"/>
                <w:kern w:val="2"/>
                <w:szCs w:val="20"/>
                <w:highlight w:val="none"/>
              </w:rPr>
            </w:pPr>
            <w:r>
              <w:rPr>
                <w:rFonts w:hint="eastAsia" w:ascii="仿宋" w:hAnsi="仿宋" w:eastAsia="仿宋" w:cs="仿宋"/>
                <w:b/>
                <w:bCs/>
                <w:color w:val="auto"/>
                <w:kern w:val="2"/>
                <w:szCs w:val="20"/>
                <w:highlight w:val="none"/>
              </w:rPr>
              <w:t>利息</w:t>
            </w:r>
          </w:p>
        </w:tc>
        <w:tc>
          <w:tcPr>
            <w:tcW w:w="1618" w:type="dxa"/>
          </w:tcPr>
          <w:p>
            <w:pPr>
              <w:spacing w:after="0" w:line="240" w:lineRule="auto"/>
              <w:jc w:val="center"/>
              <w:rPr>
                <w:rFonts w:hint="eastAsia" w:ascii="仿宋" w:hAnsi="仿宋" w:eastAsia="仿宋" w:cs="仿宋"/>
                <w:b/>
                <w:bCs/>
                <w:color w:val="auto"/>
                <w:kern w:val="2"/>
                <w:szCs w:val="20"/>
                <w:highlight w:val="none"/>
              </w:rPr>
            </w:pPr>
            <w:r>
              <w:rPr>
                <w:rFonts w:hint="eastAsia" w:ascii="仿宋" w:hAnsi="仿宋" w:eastAsia="仿宋" w:cs="仿宋"/>
                <w:b/>
                <w:bCs/>
                <w:color w:val="auto"/>
                <w:kern w:val="2"/>
                <w:szCs w:val="20"/>
                <w:highlight w:val="none"/>
              </w:rPr>
              <w:t>合计</w:t>
            </w:r>
          </w:p>
        </w:tc>
        <w:tc>
          <w:tcPr>
            <w:tcW w:w="1875" w:type="dxa"/>
            <w:vMerge w:val="continue"/>
            <w:vAlign w:val="center"/>
          </w:tcPr>
          <w:p>
            <w:pPr>
              <w:spacing w:after="0" w:line="240" w:lineRule="auto"/>
              <w:jc w:val="center"/>
              <w:rPr>
                <w:rFonts w:hint="eastAsia" w:ascii="仿宋" w:hAnsi="仿宋" w:eastAsia="仿宋" w:cs="仿宋"/>
                <w:b/>
                <w:bCs/>
                <w:color w:val="auto"/>
                <w:kern w:val="2"/>
                <w:sz w:val="15"/>
                <w:szCs w:val="15"/>
                <w:highlight w:val="none"/>
              </w:rPr>
            </w:pPr>
          </w:p>
        </w:tc>
        <w:tc>
          <w:tcPr>
            <w:tcW w:w="433" w:type="dxa"/>
            <w:vMerge w:val="continue"/>
          </w:tcPr>
          <w:p>
            <w:pPr>
              <w:spacing w:after="0" w:line="240" w:lineRule="auto"/>
              <w:jc w:val="center"/>
              <w:rPr>
                <w:rFonts w:hint="eastAsia" w:ascii="仿宋" w:hAnsi="仿宋" w:eastAsia="仿宋" w:cs="仿宋"/>
                <w:color w:val="auto"/>
                <w:kern w:val="2"/>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33" w:type="dxa"/>
            <w:vAlign w:val="center"/>
          </w:tcPr>
          <w:p>
            <w:pPr>
              <w:spacing w:after="0" w:line="240" w:lineRule="auto"/>
              <w:jc w:val="center"/>
              <w:rPr>
                <w:rFonts w:hint="eastAsia" w:ascii="仿宋" w:hAnsi="仿宋" w:eastAsia="仿宋" w:cs="仿宋"/>
                <w:color w:val="auto"/>
                <w:kern w:val="2"/>
                <w:szCs w:val="20"/>
                <w:highlight w:val="none"/>
                <w:lang w:val="en-US" w:eastAsia="zh-CN"/>
              </w:rPr>
            </w:pPr>
            <w:r>
              <w:rPr>
                <w:rFonts w:hint="eastAsia" w:ascii="仿宋" w:hAnsi="仿宋" w:eastAsia="仿宋" w:cs="仿宋"/>
                <w:color w:val="auto"/>
                <w:kern w:val="2"/>
                <w:szCs w:val="20"/>
                <w:highlight w:val="none"/>
                <w:lang w:val="en-US" w:eastAsia="zh-CN"/>
              </w:rPr>
              <w:t>1</w:t>
            </w:r>
          </w:p>
        </w:tc>
        <w:tc>
          <w:tcPr>
            <w:tcW w:w="488" w:type="dxa"/>
            <w:vAlign w:val="center"/>
          </w:tcPr>
          <w:p>
            <w:pPr>
              <w:keepNext w:val="0"/>
              <w:keepLines w:val="0"/>
              <w:widowControl/>
              <w:suppressLineNumbers w:val="0"/>
              <w:spacing w:after="0" w:line="240" w:lineRule="auto"/>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bidi="ar"/>
              </w:rPr>
              <w:t>平武县建筑工程有限责任公司</w:t>
            </w:r>
          </w:p>
        </w:tc>
        <w:tc>
          <w:tcPr>
            <w:tcW w:w="444" w:type="dxa"/>
            <w:vAlign w:val="center"/>
          </w:tcPr>
          <w:p>
            <w:pPr>
              <w:keepNext w:val="0"/>
              <w:keepLines w:val="0"/>
              <w:widowControl/>
              <w:suppressLineNumbers w:val="0"/>
              <w:spacing w:after="0" w:line="240" w:lineRule="auto"/>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次级</w:t>
            </w:r>
          </w:p>
        </w:tc>
        <w:tc>
          <w:tcPr>
            <w:tcW w:w="1618" w:type="dxa"/>
            <w:vAlign w:val="center"/>
          </w:tcPr>
          <w:p>
            <w:pPr>
              <w:keepNext w:val="0"/>
              <w:keepLines w:val="0"/>
              <w:widowControl/>
              <w:suppressLineNumbers w:val="0"/>
              <w:spacing w:after="0" w:line="240" w:lineRule="auto"/>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bidi="ar"/>
              </w:rPr>
              <w:t>23,989,371.03</w:t>
            </w:r>
          </w:p>
        </w:tc>
        <w:tc>
          <w:tcPr>
            <w:tcW w:w="1619" w:type="dxa"/>
            <w:vAlign w:val="center"/>
          </w:tcPr>
          <w:p>
            <w:pPr>
              <w:keepNext w:val="0"/>
              <w:keepLines w:val="0"/>
              <w:widowControl/>
              <w:suppressLineNumbers w:val="0"/>
              <w:spacing w:after="0" w:line="240" w:lineRule="auto"/>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bidi="ar"/>
              </w:rPr>
              <w:t>1,935,491.45</w:t>
            </w:r>
          </w:p>
        </w:tc>
        <w:tc>
          <w:tcPr>
            <w:tcW w:w="1618" w:type="dxa"/>
            <w:vAlign w:val="center"/>
          </w:tcPr>
          <w:p>
            <w:pPr>
              <w:keepNext w:val="0"/>
              <w:keepLines w:val="0"/>
              <w:widowControl/>
              <w:suppressLineNumbers w:val="0"/>
              <w:spacing w:after="0" w:line="240" w:lineRule="auto"/>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i w:val="0"/>
                <w:color w:val="auto"/>
                <w:kern w:val="0"/>
                <w:sz w:val="20"/>
                <w:szCs w:val="20"/>
                <w:highlight w:val="none"/>
                <w:u w:val="none"/>
                <w:lang w:val="en-US" w:eastAsia="zh-CN" w:bidi="ar"/>
              </w:rPr>
              <w:t>25,924,862.48</w:t>
            </w:r>
          </w:p>
        </w:tc>
        <w:tc>
          <w:tcPr>
            <w:tcW w:w="1875" w:type="dxa"/>
            <w:vAlign w:val="center"/>
          </w:tcPr>
          <w:p>
            <w:pPr>
              <w:keepNext w:val="0"/>
              <w:keepLines w:val="0"/>
              <w:widowControl/>
              <w:suppressLineNumbers w:val="0"/>
              <w:spacing w:after="0" w:line="240" w:lineRule="auto"/>
              <w:jc w:val="both"/>
              <w:textAlignment w:val="center"/>
              <w:rPr>
                <w:rFonts w:hint="eastAsia" w:ascii="仿宋" w:hAnsi="仿宋" w:eastAsia="仿宋" w:cs="仿宋"/>
                <w:i w:val="0"/>
                <w:color w:val="auto"/>
                <w:kern w:val="2"/>
                <w:sz w:val="15"/>
                <w:szCs w:val="15"/>
                <w:highlight w:val="none"/>
                <w:u w:val="none"/>
                <w:lang w:val="en-US" w:eastAsia="zh-CN" w:bidi="ar-SA"/>
              </w:rPr>
            </w:pPr>
            <w:r>
              <w:rPr>
                <w:rFonts w:hint="eastAsia" w:ascii="仿宋" w:hAnsi="仿宋" w:eastAsia="仿宋" w:cs="仿宋"/>
                <w:i w:val="0"/>
                <w:color w:val="auto"/>
                <w:kern w:val="0"/>
                <w:sz w:val="15"/>
                <w:szCs w:val="15"/>
                <w:highlight w:val="none"/>
                <w:u w:val="none"/>
                <w:lang w:val="en-US" w:eastAsia="zh-CN" w:bidi="ar"/>
              </w:rPr>
              <w:t>1.柳文富与赵润华共有的位于平武县龙安镇飞龙路242号“富华大酒店”的6357.95㎡营业房地产及赵润华自有的3151.49㎡商业房产作抵押担保（法院已判决房屋现属于平武县富华旅游服务有限公司所有）；2.追加柳文富、赵润华夫妇、赵欣提供个人连带责任保证担保；3追加九寨沟九源宾馆有限责任公司提供连带责任保证担保；4.追加平武县富华旅游服务有限公司提供股权质押担保。</w:t>
            </w:r>
          </w:p>
        </w:tc>
        <w:tc>
          <w:tcPr>
            <w:tcW w:w="433" w:type="dxa"/>
          </w:tcPr>
          <w:p>
            <w:pPr>
              <w:spacing w:after="0" w:line="240" w:lineRule="auto"/>
              <w:rPr>
                <w:rFonts w:hint="eastAsia" w:ascii="仿宋" w:hAnsi="仿宋" w:eastAsia="仿宋" w:cs="仿宋"/>
                <w:color w:val="auto"/>
                <w:kern w:val="2"/>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33" w:type="dxa"/>
            <w:vAlign w:val="center"/>
          </w:tcPr>
          <w:p>
            <w:pPr>
              <w:spacing w:after="0" w:line="240" w:lineRule="auto"/>
              <w:jc w:val="center"/>
              <w:rPr>
                <w:rFonts w:hint="eastAsia" w:ascii="仿宋" w:hAnsi="仿宋" w:eastAsia="仿宋" w:cs="仿宋"/>
                <w:color w:val="auto"/>
                <w:kern w:val="2"/>
                <w:szCs w:val="20"/>
                <w:highlight w:val="none"/>
                <w:lang w:val="en-US" w:eastAsia="zh-CN"/>
              </w:rPr>
            </w:pPr>
            <w:r>
              <w:rPr>
                <w:rFonts w:hint="eastAsia" w:ascii="仿宋" w:hAnsi="仿宋" w:eastAsia="仿宋" w:cs="仿宋"/>
                <w:color w:val="auto"/>
                <w:kern w:val="2"/>
                <w:szCs w:val="20"/>
                <w:highlight w:val="none"/>
                <w:lang w:val="en-US" w:eastAsia="zh-CN"/>
              </w:rPr>
              <w:t>2</w:t>
            </w:r>
          </w:p>
        </w:tc>
        <w:tc>
          <w:tcPr>
            <w:tcW w:w="488" w:type="dxa"/>
            <w:vAlign w:val="center"/>
          </w:tcPr>
          <w:p>
            <w:pPr>
              <w:keepNext w:val="0"/>
              <w:keepLines w:val="0"/>
              <w:widowControl/>
              <w:suppressLineNumbers w:val="0"/>
              <w:spacing w:after="0" w:line="240" w:lineRule="auto"/>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bidi="ar"/>
              </w:rPr>
              <w:t>四川丰和建材有限责任公司</w:t>
            </w:r>
          </w:p>
        </w:tc>
        <w:tc>
          <w:tcPr>
            <w:tcW w:w="444" w:type="dxa"/>
            <w:vAlign w:val="center"/>
          </w:tcPr>
          <w:p>
            <w:pPr>
              <w:keepNext w:val="0"/>
              <w:keepLines w:val="0"/>
              <w:widowControl/>
              <w:suppressLineNumbers w:val="0"/>
              <w:spacing w:after="0" w:line="240" w:lineRule="auto"/>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次级</w:t>
            </w:r>
          </w:p>
        </w:tc>
        <w:tc>
          <w:tcPr>
            <w:tcW w:w="1618" w:type="dxa"/>
            <w:vAlign w:val="center"/>
          </w:tcPr>
          <w:p>
            <w:pPr>
              <w:keepNext w:val="0"/>
              <w:keepLines w:val="0"/>
              <w:widowControl/>
              <w:suppressLineNumbers w:val="0"/>
              <w:spacing w:after="0" w:line="240" w:lineRule="auto"/>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bidi="ar"/>
              </w:rPr>
              <w:t>150,000,000.00</w:t>
            </w:r>
          </w:p>
        </w:tc>
        <w:tc>
          <w:tcPr>
            <w:tcW w:w="1619" w:type="dxa"/>
            <w:vAlign w:val="center"/>
          </w:tcPr>
          <w:p>
            <w:pPr>
              <w:keepNext w:val="0"/>
              <w:keepLines w:val="0"/>
              <w:widowControl/>
              <w:suppressLineNumbers w:val="0"/>
              <w:spacing w:after="0" w:line="240" w:lineRule="auto"/>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bidi="ar"/>
              </w:rPr>
              <w:t>163,201,885.94</w:t>
            </w:r>
          </w:p>
        </w:tc>
        <w:tc>
          <w:tcPr>
            <w:tcW w:w="1618" w:type="dxa"/>
            <w:vAlign w:val="center"/>
          </w:tcPr>
          <w:p>
            <w:pPr>
              <w:keepNext w:val="0"/>
              <w:keepLines w:val="0"/>
              <w:widowControl/>
              <w:suppressLineNumbers w:val="0"/>
              <w:spacing w:after="0" w:line="240" w:lineRule="auto"/>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i w:val="0"/>
                <w:color w:val="auto"/>
                <w:kern w:val="0"/>
                <w:sz w:val="20"/>
                <w:szCs w:val="20"/>
                <w:highlight w:val="none"/>
                <w:u w:val="none"/>
                <w:lang w:val="en-US" w:eastAsia="zh-CN" w:bidi="ar"/>
              </w:rPr>
              <w:t>313,201,885.94</w:t>
            </w:r>
          </w:p>
        </w:tc>
        <w:tc>
          <w:tcPr>
            <w:tcW w:w="1875" w:type="dxa"/>
            <w:vAlign w:val="center"/>
          </w:tcPr>
          <w:p>
            <w:pPr>
              <w:keepNext w:val="0"/>
              <w:keepLines w:val="0"/>
              <w:widowControl/>
              <w:suppressLineNumbers w:val="0"/>
              <w:spacing w:after="0" w:line="240" w:lineRule="auto"/>
              <w:jc w:val="both"/>
              <w:textAlignment w:val="center"/>
              <w:rPr>
                <w:rFonts w:hint="eastAsia" w:ascii="仿宋" w:hAnsi="仿宋" w:eastAsia="仿宋" w:cs="仿宋"/>
                <w:color w:val="auto"/>
                <w:kern w:val="2"/>
                <w:sz w:val="15"/>
                <w:szCs w:val="15"/>
                <w:highlight w:val="none"/>
                <w:lang w:val="en-US" w:eastAsia="zh-CN" w:bidi="ar"/>
              </w:rPr>
            </w:pPr>
            <w:r>
              <w:rPr>
                <w:rFonts w:hint="eastAsia" w:ascii="仿宋" w:hAnsi="仿宋" w:eastAsia="仿宋" w:cs="仿宋"/>
                <w:i w:val="0"/>
                <w:color w:val="auto"/>
                <w:kern w:val="0"/>
                <w:sz w:val="15"/>
                <w:szCs w:val="15"/>
                <w:highlight w:val="none"/>
                <w:u w:val="none"/>
                <w:lang w:val="en-US" w:eastAsia="zh-CN" w:bidi="ar"/>
              </w:rPr>
              <w:t>1.由四川杰地汇润科技有限公司提供连带责任保证担保，追加成都兴能置业有限公司所有的位于青羊区苏坡街道办事处培风社区8、10组，中坝社区6组的国有土地使用权抵押担保，土地证号：成国用（2013）第277号，使用权面积为27005.4㎡；2.成都兴能置业有限公司保证担保、成都兴能置业有限公司股权质押担保、四川丰和建材有限责任公司法定代表人陈东提供保证担保。</w:t>
            </w:r>
          </w:p>
        </w:tc>
        <w:tc>
          <w:tcPr>
            <w:tcW w:w="433" w:type="dxa"/>
          </w:tcPr>
          <w:p>
            <w:pPr>
              <w:spacing w:after="0" w:line="240" w:lineRule="auto"/>
              <w:rPr>
                <w:rFonts w:hint="eastAsia" w:ascii="仿宋" w:hAnsi="仿宋" w:eastAsia="仿宋" w:cs="仿宋"/>
                <w:color w:val="auto"/>
                <w:kern w:val="2"/>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33" w:type="dxa"/>
            <w:vAlign w:val="center"/>
          </w:tcPr>
          <w:p>
            <w:pPr>
              <w:spacing w:after="0" w:line="240" w:lineRule="auto"/>
              <w:jc w:val="center"/>
              <w:rPr>
                <w:rFonts w:hint="eastAsia" w:ascii="仿宋" w:hAnsi="仿宋" w:eastAsia="仿宋" w:cs="仿宋"/>
                <w:color w:val="auto"/>
                <w:kern w:val="2"/>
                <w:szCs w:val="20"/>
                <w:highlight w:val="none"/>
                <w:lang w:val="en-US" w:eastAsia="zh-CN"/>
              </w:rPr>
            </w:pPr>
            <w:r>
              <w:rPr>
                <w:rFonts w:hint="eastAsia" w:ascii="仿宋" w:hAnsi="仿宋" w:eastAsia="仿宋" w:cs="仿宋"/>
                <w:color w:val="auto"/>
                <w:kern w:val="2"/>
                <w:szCs w:val="20"/>
                <w:highlight w:val="none"/>
                <w:lang w:val="en-US" w:eastAsia="zh-CN"/>
              </w:rPr>
              <w:t>3</w:t>
            </w:r>
          </w:p>
        </w:tc>
        <w:tc>
          <w:tcPr>
            <w:tcW w:w="488" w:type="dxa"/>
            <w:vAlign w:val="center"/>
          </w:tcPr>
          <w:p>
            <w:pPr>
              <w:keepNext w:val="0"/>
              <w:keepLines w:val="0"/>
              <w:widowControl/>
              <w:suppressLineNumbers w:val="0"/>
              <w:spacing w:after="0" w:line="240" w:lineRule="auto"/>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bidi="ar"/>
              </w:rPr>
              <w:t>仁寿一条龙商贸有限公司</w:t>
            </w:r>
          </w:p>
        </w:tc>
        <w:tc>
          <w:tcPr>
            <w:tcW w:w="444" w:type="dxa"/>
            <w:vAlign w:val="center"/>
          </w:tcPr>
          <w:p>
            <w:pPr>
              <w:keepNext w:val="0"/>
              <w:keepLines w:val="0"/>
              <w:widowControl/>
              <w:suppressLineNumbers w:val="0"/>
              <w:spacing w:after="0" w:line="240" w:lineRule="auto"/>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次级</w:t>
            </w:r>
          </w:p>
        </w:tc>
        <w:tc>
          <w:tcPr>
            <w:tcW w:w="1618" w:type="dxa"/>
            <w:vAlign w:val="center"/>
          </w:tcPr>
          <w:p>
            <w:pPr>
              <w:keepNext w:val="0"/>
              <w:keepLines w:val="0"/>
              <w:widowControl/>
              <w:suppressLineNumbers w:val="0"/>
              <w:spacing w:after="0" w:line="240" w:lineRule="auto"/>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bidi="ar"/>
              </w:rPr>
              <w:t>21,316,062.61</w:t>
            </w:r>
          </w:p>
        </w:tc>
        <w:tc>
          <w:tcPr>
            <w:tcW w:w="1619" w:type="dxa"/>
            <w:vAlign w:val="center"/>
          </w:tcPr>
          <w:p>
            <w:pPr>
              <w:keepNext w:val="0"/>
              <w:keepLines w:val="0"/>
              <w:widowControl/>
              <w:suppressLineNumbers w:val="0"/>
              <w:spacing w:after="0" w:line="240" w:lineRule="auto"/>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bidi="ar"/>
              </w:rPr>
              <w:t>10,873,510.59</w:t>
            </w:r>
          </w:p>
        </w:tc>
        <w:tc>
          <w:tcPr>
            <w:tcW w:w="1618" w:type="dxa"/>
            <w:vAlign w:val="center"/>
          </w:tcPr>
          <w:p>
            <w:pPr>
              <w:keepNext w:val="0"/>
              <w:keepLines w:val="0"/>
              <w:widowControl/>
              <w:suppressLineNumbers w:val="0"/>
              <w:spacing w:after="0" w:line="240" w:lineRule="auto"/>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i w:val="0"/>
                <w:color w:val="auto"/>
                <w:kern w:val="0"/>
                <w:sz w:val="20"/>
                <w:szCs w:val="20"/>
                <w:highlight w:val="none"/>
                <w:u w:val="none"/>
                <w:lang w:val="en-US" w:eastAsia="zh-CN" w:bidi="ar"/>
              </w:rPr>
              <w:t>32,189,573.20</w:t>
            </w:r>
          </w:p>
        </w:tc>
        <w:tc>
          <w:tcPr>
            <w:tcW w:w="1875" w:type="dxa"/>
            <w:vAlign w:val="center"/>
          </w:tcPr>
          <w:p>
            <w:pPr>
              <w:keepNext w:val="0"/>
              <w:keepLines w:val="0"/>
              <w:widowControl/>
              <w:suppressLineNumbers w:val="0"/>
              <w:spacing w:after="0" w:line="240" w:lineRule="auto"/>
              <w:jc w:val="both"/>
              <w:textAlignment w:val="center"/>
              <w:rPr>
                <w:rFonts w:hint="eastAsia" w:ascii="仿宋" w:hAnsi="仿宋" w:eastAsia="仿宋" w:cs="仿宋"/>
                <w:color w:val="auto"/>
                <w:kern w:val="2"/>
                <w:sz w:val="15"/>
                <w:szCs w:val="15"/>
                <w:highlight w:val="none"/>
                <w:lang w:val="en-US" w:eastAsia="zh-CN" w:bidi="ar"/>
              </w:rPr>
            </w:pPr>
            <w:r>
              <w:rPr>
                <w:rFonts w:hint="eastAsia" w:ascii="仿宋" w:hAnsi="仿宋" w:eastAsia="仿宋" w:cs="仿宋"/>
                <w:i w:val="0"/>
                <w:color w:val="auto"/>
                <w:kern w:val="0"/>
                <w:sz w:val="15"/>
                <w:szCs w:val="15"/>
                <w:highlight w:val="none"/>
                <w:u w:val="none"/>
                <w:lang w:val="en-US" w:eastAsia="zh-CN" w:bidi="ar"/>
              </w:rPr>
              <w:t>1、由黄新路与聂桂芳共同共有的位于四川省眉山市仁寿县文林镇怡和街的商业房地产以及辜杰与陈俊英共同共有的位于四川省眉山市仁寿县文林镇仁寿大道146号的商业房地产作抵押担保，总建筑面积2945.13㎡；2、由辜杰、陈俊英、聂桂芳、黄新路、郑佳莉、江伟、四川普泽实业有限公司提供连带责任保证担保。</w:t>
            </w:r>
          </w:p>
        </w:tc>
        <w:tc>
          <w:tcPr>
            <w:tcW w:w="433" w:type="dxa"/>
          </w:tcPr>
          <w:p>
            <w:pPr>
              <w:spacing w:after="0" w:line="240" w:lineRule="auto"/>
              <w:rPr>
                <w:rFonts w:hint="eastAsia" w:ascii="仿宋" w:hAnsi="仿宋" w:eastAsia="仿宋" w:cs="仿宋"/>
                <w:color w:val="auto"/>
                <w:kern w:val="2"/>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33" w:type="dxa"/>
            <w:vAlign w:val="center"/>
          </w:tcPr>
          <w:p>
            <w:pPr>
              <w:keepNext w:val="0"/>
              <w:keepLines w:val="0"/>
              <w:widowControl/>
              <w:suppressLineNumbers w:val="0"/>
              <w:spacing w:after="0" w:line="240" w:lineRule="auto"/>
              <w:jc w:val="center"/>
              <w:textAlignment w:val="center"/>
              <w:rPr>
                <w:rFonts w:hint="eastAsia" w:ascii="仿宋" w:hAnsi="仿宋" w:eastAsia="仿宋" w:cs="仿宋"/>
                <w:color w:val="auto"/>
                <w:kern w:val="2"/>
                <w:szCs w:val="20"/>
                <w:highlight w:val="none"/>
                <w:lang w:val="en-US" w:eastAsia="zh-CN"/>
              </w:rPr>
            </w:pPr>
            <w:r>
              <w:rPr>
                <w:rFonts w:hint="eastAsia" w:ascii="仿宋" w:hAnsi="仿宋" w:eastAsia="仿宋" w:cs="仿宋"/>
                <w:b w:val="0"/>
                <w:bCs/>
                <w:i w:val="0"/>
                <w:color w:val="auto"/>
                <w:kern w:val="0"/>
                <w:sz w:val="20"/>
                <w:szCs w:val="20"/>
                <w:u w:val="none"/>
                <w:lang w:val="en-US" w:eastAsia="zh-CN" w:bidi="ar"/>
              </w:rPr>
              <w:t>合计</w:t>
            </w:r>
          </w:p>
        </w:tc>
        <w:tc>
          <w:tcPr>
            <w:tcW w:w="488" w:type="dxa"/>
            <w:vAlign w:val="center"/>
          </w:tcPr>
          <w:p>
            <w:pPr>
              <w:keepNext w:val="0"/>
              <w:keepLines w:val="0"/>
              <w:widowControl/>
              <w:suppressLineNumbers w:val="0"/>
              <w:spacing w:after="0" w:line="240" w:lineRule="auto"/>
              <w:jc w:val="center"/>
              <w:textAlignment w:val="center"/>
              <w:rPr>
                <w:rFonts w:hint="eastAsia" w:ascii="仿宋" w:hAnsi="仿宋" w:eastAsia="仿宋" w:cs="仿宋"/>
                <w:i w:val="0"/>
                <w:color w:val="auto"/>
                <w:kern w:val="0"/>
                <w:sz w:val="20"/>
                <w:szCs w:val="20"/>
                <w:highlight w:val="none"/>
                <w:u w:val="none"/>
                <w:lang w:val="en-US" w:eastAsia="zh-CN" w:bidi="ar"/>
              </w:rPr>
            </w:pPr>
          </w:p>
        </w:tc>
        <w:tc>
          <w:tcPr>
            <w:tcW w:w="444" w:type="dxa"/>
            <w:vAlign w:val="center"/>
          </w:tcPr>
          <w:p>
            <w:pPr>
              <w:keepNext w:val="0"/>
              <w:keepLines w:val="0"/>
              <w:widowControl/>
              <w:suppressLineNumbers w:val="0"/>
              <w:spacing w:after="0" w:line="240" w:lineRule="auto"/>
              <w:jc w:val="center"/>
              <w:textAlignment w:val="center"/>
              <w:rPr>
                <w:rFonts w:hint="eastAsia" w:ascii="仿宋" w:hAnsi="仿宋" w:eastAsia="仿宋" w:cs="仿宋"/>
                <w:i w:val="0"/>
                <w:color w:val="auto"/>
                <w:kern w:val="0"/>
                <w:sz w:val="20"/>
                <w:szCs w:val="20"/>
                <w:highlight w:val="none"/>
                <w:u w:val="none"/>
                <w:lang w:val="en-US" w:eastAsia="zh-CN" w:bidi="ar"/>
              </w:rPr>
            </w:pPr>
          </w:p>
        </w:tc>
        <w:tc>
          <w:tcPr>
            <w:tcW w:w="1618" w:type="dxa"/>
            <w:vAlign w:val="center"/>
          </w:tcPr>
          <w:p>
            <w:pPr>
              <w:keepNext w:val="0"/>
              <w:keepLines w:val="0"/>
              <w:widowControl/>
              <w:suppressLineNumbers w:val="0"/>
              <w:spacing w:after="0" w:line="240" w:lineRule="auto"/>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000000"/>
                <w:kern w:val="0"/>
                <w:sz w:val="20"/>
                <w:szCs w:val="20"/>
                <w:u w:val="none"/>
                <w:lang w:val="en-US" w:eastAsia="zh-CN" w:bidi="ar"/>
              </w:rPr>
              <w:t>195,305,433.64</w:t>
            </w:r>
          </w:p>
        </w:tc>
        <w:tc>
          <w:tcPr>
            <w:tcW w:w="1619" w:type="dxa"/>
            <w:vAlign w:val="center"/>
          </w:tcPr>
          <w:p>
            <w:pPr>
              <w:keepNext w:val="0"/>
              <w:keepLines w:val="0"/>
              <w:widowControl/>
              <w:suppressLineNumbers w:val="0"/>
              <w:spacing w:after="0" w:line="240" w:lineRule="auto"/>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000000"/>
                <w:kern w:val="0"/>
                <w:sz w:val="20"/>
                <w:szCs w:val="20"/>
                <w:u w:val="none"/>
                <w:lang w:val="en-US" w:eastAsia="zh-CN" w:bidi="ar"/>
              </w:rPr>
              <w:t>176,010,887.98</w:t>
            </w:r>
          </w:p>
        </w:tc>
        <w:tc>
          <w:tcPr>
            <w:tcW w:w="1618" w:type="dxa"/>
            <w:vAlign w:val="center"/>
          </w:tcPr>
          <w:p>
            <w:pPr>
              <w:keepNext w:val="0"/>
              <w:keepLines w:val="0"/>
              <w:widowControl/>
              <w:suppressLineNumbers w:val="0"/>
              <w:spacing w:after="0" w:line="240" w:lineRule="auto"/>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000000"/>
                <w:kern w:val="0"/>
                <w:sz w:val="20"/>
                <w:szCs w:val="20"/>
                <w:u w:val="none"/>
                <w:lang w:val="en-US" w:eastAsia="zh-CN" w:bidi="ar"/>
              </w:rPr>
              <w:t>347,983,921.62</w:t>
            </w:r>
          </w:p>
        </w:tc>
        <w:tc>
          <w:tcPr>
            <w:tcW w:w="1875" w:type="dxa"/>
            <w:vAlign w:val="top"/>
          </w:tcPr>
          <w:p>
            <w:pPr>
              <w:spacing w:after="0" w:line="240" w:lineRule="auto"/>
              <w:rPr>
                <w:rFonts w:hint="eastAsia" w:ascii="仿宋" w:hAnsi="仿宋" w:eastAsia="仿宋" w:cs="仿宋"/>
                <w:i w:val="0"/>
                <w:color w:val="auto"/>
                <w:kern w:val="0"/>
                <w:sz w:val="15"/>
                <w:szCs w:val="15"/>
                <w:highlight w:val="none"/>
                <w:u w:val="none"/>
                <w:lang w:val="en-US" w:eastAsia="zh-CN" w:bidi="ar"/>
              </w:rPr>
            </w:pPr>
          </w:p>
        </w:tc>
        <w:tc>
          <w:tcPr>
            <w:tcW w:w="433" w:type="dxa"/>
            <w:vAlign w:val="top"/>
          </w:tcPr>
          <w:p>
            <w:pPr>
              <w:spacing w:after="0" w:line="240" w:lineRule="auto"/>
              <w:rPr>
                <w:rFonts w:hint="eastAsia" w:ascii="仿宋" w:hAnsi="仿宋" w:eastAsia="仿宋" w:cs="仿宋"/>
                <w:color w:val="auto"/>
                <w:kern w:val="2"/>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4602" w:type="dxa"/>
            <w:gridSpan w:val="5"/>
            <w:tcBorders>
              <w:top w:val="single" w:color="auto" w:sz="12" w:space="0"/>
              <w:bottom w:val="single" w:color="auto" w:sz="4" w:space="0"/>
            </w:tcBorders>
          </w:tcPr>
          <w:p>
            <w:pPr>
              <w:spacing w:after="0" w:line="240" w:lineRule="auto"/>
              <w:jc w:val="left"/>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rPr>
              <w:t>甲方（出让方）签章</w:t>
            </w:r>
          </w:p>
          <w:p>
            <w:pPr>
              <w:spacing w:after="0" w:line="240" w:lineRule="auto"/>
              <w:jc w:val="left"/>
              <w:rPr>
                <w:rFonts w:hint="eastAsia" w:ascii="仿宋" w:hAnsi="仿宋" w:eastAsia="仿宋" w:cs="仿宋"/>
                <w:color w:val="auto"/>
                <w:kern w:val="2"/>
                <w:szCs w:val="20"/>
                <w:highlight w:val="none"/>
              </w:rPr>
            </w:pPr>
          </w:p>
          <w:p>
            <w:pPr>
              <w:widowControl/>
              <w:tabs>
                <w:tab w:val="center" w:pos="4153"/>
                <w:tab w:val="right" w:pos="8306"/>
              </w:tabs>
              <w:spacing w:after="0" w:line="240" w:lineRule="auto"/>
              <w:jc w:val="left"/>
              <w:rPr>
                <w:rFonts w:hint="eastAsia" w:ascii="仿宋" w:hAnsi="仿宋" w:eastAsia="仿宋" w:cs="仿宋"/>
                <w:color w:val="auto"/>
                <w:kern w:val="0"/>
                <w:sz w:val="22"/>
                <w:szCs w:val="22"/>
                <w:highlight w:val="none"/>
                <w:lang w:val="en-NZ" w:eastAsia="zh-CN" w:bidi="ar-SA"/>
              </w:rPr>
            </w:pPr>
          </w:p>
          <w:p>
            <w:pPr>
              <w:widowControl/>
              <w:tabs>
                <w:tab w:val="center" w:pos="4153"/>
                <w:tab w:val="right" w:pos="8306"/>
              </w:tabs>
              <w:spacing w:after="0" w:line="240" w:lineRule="auto"/>
              <w:jc w:val="left"/>
              <w:rPr>
                <w:rFonts w:hint="eastAsia" w:ascii="仿宋" w:hAnsi="仿宋" w:eastAsia="仿宋" w:cs="仿宋"/>
                <w:color w:val="auto"/>
                <w:kern w:val="0"/>
                <w:sz w:val="22"/>
                <w:szCs w:val="22"/>
                <w:highlight w:val="none"/>
                <w:lang w:val="en-NZ" w:eastAsia="zh-CN" w:bidi="ar-SA"/>
              </w:rPr>
            </w:pPr>
          </w:p>
          <w:p>
            <w:pPr>
              <w:widowControl/>
              <w:tabs>
                <w:tab w:val="center" w:pos="4153"/>
                <w:tab w:val="right" w:pos="8306"/>
              </w:tabs>
              <w:spacing w:after="0" w:line="240" w:lineRule="auto"/>
              <w:jc w:val="left"/>
              <w:rPr>
                <w:rFonts w:hint="eastAsia" w:ascii="Calibri" w:hAnsi="Calibri" w:eastAsia="宋体" w:cs="Arial"/>
                <w:color w:val="auto"/>
                <w:kern w:val="0"/>
                <w:sz w:val="22"/>
                <w:szCs w:val="22"/>
                <w:highlight w:val="none"/>
                <w:lang w:val="en-NZ" w:eastAsia="zh-CN" w:bidi="ar-SA"/>
              </w:rPr>
            </w:pPr>
          </w:p>
          <w:p>
            <w:pPr>
              <w:spacing w:after="0" w:line="240" w:lineRule="auto"/>
              <w:jc w:val="left"/>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rPr>
              <w:t>法定代表人/负责人</w:t>
            </w:r>
          </w:p>
          <w:p>
            <w:pPr>
              <w:spacing w:after="0" w:line="240" w:lineRule="auto"/>
              <w:jc w:val="left"/>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rPr>
              <w:t>（或授权代理人）</w:t>
            </w:r>
          </w:p>
          <w:p>
            <w:pPr>
              <w:wordWrap w:val="0"/>
              <w:spacing w:after="0" w:line="240" w:lineRule="auto"/>
              <w:jc w:val="right"/>
              <w:rPr>
                <w:rFonts w:hint="eastAsia" w:ascii="仿宋" w:hAnsi="仿宋" w:eastAsia="仿宋" w:cs="仿宋"/>
                <w:color w:val="auto"/>
                <w:kern w:val="2"/>
                <w:szCs w:val="20"/>
                <w:highlight w:val="none"/>
              </w:rPr>
            </w:pPr>
          </w:p>
          <w:p>
            <w:pPr>
              <w:wordWrap w:val="0"/>
              <w:spacing w:after="0" w:line="240" w:lineRule="auto"/>
              <w:jc w:val="right"/>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rPr>
              <w:t>年</w:t>
            </w:r>
            <w:r>
              <w:rPr>
                <w:rFonts w:hint="eastAsia" w:ascii="仿宋" w:hAnsi="仿宋" w:eastAsia="仿宋" w:cs="仿宋"/>
                <w:color w:val="auto"/>
                <w:kern w:val="2"/>
                <w:szCs w:val="20"/>
                <w:highlight w:val="none"/>
                <w:lang w:val="en-US" w:eastAsia="zh-CN"/>
              </w:rPr>
              <w:t xml:space="preserve">  </w:t>
            </w:r>
            <w:r>
              <w:rPr>
                <w:rFonts w:hint="eastAsia" w:ascii="仿宋" w:hAnsi="仿宋" w:eastAsia="仿宋" w:cs="仿宋"/>
                <w:color w:val="auto"/>
                <w:kern w:val="2"/>
                <w:szCs w:val="20"/>
                <w:highlight w:val="none"/>
              </w:rPr>
              <w:t>月</w:t>
            </w:r>
            <w:r>
              <w:rPr>
                <w:rFonts w:hint="eastAsia" w:ascii="仿宋" w:hAnsi="仿宋" w:eastAsia="仿宋" w:cs="仿宋"/>
                <w:color w:val="auto"/>
                <w:kern w:val="2"/>
                <w:szCs w:val="20"/>
                <w:highlight w:val="none"/>
                <w:lang w:val="en-US" w:eastAsia="zh-CN"/>
              </w:rPr>
              <w:t xml:space="preserve">  </w:t>
            </w:r>
            <w:r>
              <w:rPr>
                <w:rFonts w:hint="eastAsia" w:ascii="仿宋" w:hAnsi="仿宋" w:eastAsia="仿宋" w:cs="仿宋"/>
                <w:color w:val="auto"/>
                <w:kern w:val="2"/>
                <w:szCs w:val="20"/>
                <w:highlight w:val="none"/>
              </w:rPr>
              <w:t>日</w:t>
            </w:r>
          </w:p>
        </w:tc>
        <w:tc>
          <w:tcPr>
            <w:tcW w:w="3926" w:type="dxa"/>
            <w:gridSpan w:val="3"/>
            <w:tcBorders>
              <w:top w:val="single" w:color="auto" w:sz="12" w:space="0"/>
              <w:bottom w:val="single" w:color="auto" w:sz="4" w:space="0"/>
            </w:tcBorders>
          </w:tcPr>
          <w:p>
            <w:pPr>
              <w:spacing w:after="0" w:line="240" w:lineRule="auto"/>
              <w:jc w:val="left"/>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rPr>
              <w:t>乙方（受让方）签章</w:t>
            </w:r>
          </w:p>
          <w:p>
            <w:pPr>
              <w:spacing w:after="0" w:line="240" w:lineRule="auto"/>
              <w:jc w:val="left"/>
              <w:rPr>
                <w:rFonts w:hint="eastAsia" w:ascii="仿宋" w:hAnsi="仿宋" w:eastAsia="仿宋" w:cs="仿宋"/>
                <w:color w:val="auto"/>
                <w:kern w:val="2"/>
                <w:szCs w:val="20"/>
                <w:highlight w:val="none"/>
              </w:rPr>
            </w:pPr>
          </w:p>
          <w:p>
            <w:pPr>
              <w:spacing w:after="0" w:line="240" w:lineRule="auto"/>
              <w:jc w:val="left"/>
              <w:rPr>
                <w:rFonts w:hint="eastAsia" w:ascii="仿宋" w:hAnsi="仿宋" w:eastAsia="仿宋" w:cs="仿宋"/>
                <w:color w:val="auto"/>
                <w:kern w:val="2"/>
                <w:szCs w:val="20"/>
                <w:highlight w:val="none"/>
              </w:rPr>
            </w:pPr>
          </w:p>
          <w:p>
            <w:pPr>
              <w:widowControl/>
              <w:tabs>
                <w:tab w:val="center" w:pos="4153"/>
                <w:tab w:val="right" w:pos="8306"/>
              </w:tabs>
              <w:spacing w:after="0" w:line="240" w:lineRule="auto"/>
              <w:jc w:val="left"/>
              <w:rPr>
                <w:rFonts w:hint="eastAsia" w:ascii="仿宋" w:hAnsi="仿宋" w:eastAsia="仿宋" w:cs="仿宋"/>
                <w:color w:val="auto"/>
                <w:kern w:val="0"/>
                <w:sz w:val="22"/>
                <w:szCs w:val="22"/>
                <w:highlight w:val="none"/>
                <w:lang w:val="en-NZ" w:eastAsia="zh-CN" w:bidi="ar-SA"/>
              </w:rPr>
            </w:pPr>
          </w:p>
          <w:p>
            <w:pPr>
              <w:widowControl/>
              <w:tabs>
                <w:tab w:val="center" w:pos="4153"/>
                <w:tab w:val="right" w:pos="8306"/>
              </w:tabs>
              <w:spacing w:after="0" w:line="240" w:lineRule="auto"/>
              <w:jc w:val="left"/>
              <w:rPr>
                <w:rFonts w:hint="eastAsia" w:ascii="仿宋" w:hAnsi="仿宋" w:eastAsia="仿宋" w:cs="仿宋"/>
                <w:color w:val="auto"/>
                <w:kern w:val="0"/>
                <w:sz w:val="22"/>
                <w:szCs w:val="22"/>
                <w:highlight w:val="none"/>
                <w:lang w:val="en-NZ" w:eastAsia="zh-CN" w:bidi="ar-SA"/>
              </w:rPr>
            </w:pPr>
          </w:p>
          <w:p>
            <w:pPr>
              <w:spacing w:after="0" w:line="240" w:lineRule="auto"/>
              <w:jc w:val="left"/>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rPr>
              <w:t>法定代表人/负责人</w:t>
            </w:r>
          </w:p>
          <w:p>
            <w:pPr>
              <w:spacing w:after="0" w:line="240" w:lineRule="auto"/>
              <w:jc w:val="left"/>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rPr>
              <w:t>（或授权代理人）</w:t>
            </w:r>
          </w:p>
          <w:p>
            <w:pPr>
              <w:spacing w:after="0" w:line="240" w:lineRule="auto"/>
              <w:jc w:val="right"/>
              <w:rPr>
                <w:rFonts w:hint="eastAsia" w:ascii="仿宋" w:hAnsi="仿宋" w:eastAsia="仿宋" w:cs="仿宋"/>
                <w:color w:val="auto"/>
                <w:kern w:val="2"/>
                <w:szCs w:val="20"/>
                <w:highlight w:val="none"/>
              </w:rPr>
            </w:pPr>
          </w:p>
          <w:p>
            <w:pPr>
              <w:spacing w:after="0" w:line="240" w:lineRule="auto"/>
              <w:jc w:val="right"/>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rPr>
              <w:t>年</w:t>
            </w:r>
            <w:r>
              <w:rPr>
                <w:rFonts w:hint="eastAsia" w:ascii="仿宋" w:hAnsi="仿宋" w:eastAsia="仿宋" w:cs="仿宋"/>
                <w:color w:val="auto"/>
                <w:kern w:val="2"/>
                <w:szCs w:val="20"/>
                <w:highlight w:val="none"/>
                <w:lang w:val="en-US" w:eastAsia="zh-CN"/>
              </w:rPr>
              <w:t xml:space="preserve">  </w:t>
            </w:r>
            <w:r>
              <w:rPr>
                <w:rFonts w:hint="eastAsia" w:ascii="仿宋" w:hAnsi="仿宋" w:eastAsia="仿宋" w:cs="仿宋"/>
                <w:color w:val="auto"/>
                <w:kern w:val="2"/>
                <w:szCs w:val="20"/>
                <w:highlight w:val="none"/>
              </w:rPr>
              <w:t>月</w:t>
            </w:r>
            <w:r>
              <w:rPr>
                <w:rFonts w:hint="eastAsia" w:ascii="仿宋" w:hAnsi="仿宋" w:eastAsia="仿宋" w:cs="仿宋"/>
                <w:color w:val="auto"/>
                <w:kern w:val="2"/>
                <w:szCs w:val="20"/>
                <w:highlight w:val="none"/>
                <w:lang w:val="en-US" w:eastAsia="zh-CN"/>
              </w:rPr>
              <w:t xml:space="preserve">  </w:t>
            </w:r>
            <w:r>
              <w:rPr>
                <w:rFonts w:hint="eastAsia" w:ascii="仿宋" w:hAnsi="仿宋" w:eastAsia="仿宋" w:cs="仿宋"/>
                <w:color w:val="auto"/>
                <w:kern w:val="2"/>
                <w:szCs w:val="20"/>
                <w:highlight w:val="none"/>
              </w:rPr>
              <w:t>日</w:t>
            </w:r>
          </w:p>
        </w:tc>
      </w:tr>
    </w:tbl>
    <w:p>
      <w:pPr>
        <w:rPr>
          <w:rFonts w:hint="eastAsia" w:ascii="仿宋" w:hAnsi="仿宋" w:eastAsia="仿宋" w:cs="仿宋"/>
          <w:color w:val="auto"/>
          <w:kern w:val="2"/>
          <w:sz w:val="20"/>
          <w:szCs w:val="20"/>
          <w:highlight w:val="none"/>
        </w:rPr>
      </w:pPr>
      <w:bookmarkStart w:id="319" w:name="PO_074"/>
      <w:r>
        <w:rPr>
          <w:rFonts w:hint="eastAsia" w:ascii="仿宋" w:hAnsi="仿宋" w:eastAsia="仿宋" w:cs="仿宋"/>
          <w:color w:val="auto"/>
          <w:kern w:val="2"/>
          <w:sz w:val="20"/>
          <w:szCs w:val="20"/>
          <w:highlight w:val="none"/>
        </w:rPr>
        <w:br w:type="page"/>
      </w:r>
    </w:p>
    <w:p>
      <w:pPr>
        <w:spacing w:after="0" w:line="240" w:lineRule="auto"/>
        <w:rPr>
          <w:rFonts w:hint="eastAsia" w:ascii="仿宋" w:hAnsi="仿宋" w:eastAsia="仿宋" w:cs="仿宋"/>
          <w:color w:val="auto"/>
          <w:kern w:val="2"/>
          <w:sz w:val="20"/>
          <w:szCs w:val="20"/>
          <w:highlight w:val="none"/>
        </w:rPr>
      </w:pPr>
      <w:r>
        <w:rPr>
          <w:rFonts w:hint="eastAsia" w:ascii="仿宋" w:hAnsi="仿宋" w:eastAsia="仿宋" w:cs="仿宋"/>
          <w:color w:val="auto"/>
          <w:kern w:val="2"/>
          <w:sz w:val="20"/>
          <w:szCs w:val="20"/>
          <w:highlight w:val="none"/>
        </w:rPr>
        <w:t>附1-2</w:t>
      </w:r>
    </w:p>
    <w:p>
      <w:pPr>
        <w:spacing w:after="0" w:line="240" w:lineRule="auto"/>
        <w:jc w:val="center"/>
        <w:rPr>
          <w:rFonts w:hint="eastAsia" w:ascii="仿宋" w:hAnsi="仿宋" w:eastAsia="仿宋" w:cs="仿宋"/>
          <w:color w:val="auto"/>
          <w:kern w:val="2"/>
          <w:sz w:val="28"/>
          <w:szCs w:val="20"/>
          <w:highlight w:val="none"/>
        </w:rPr>
      </w:pPr>
      <w:r>
        <w:rPr>
          <w:rFonts w:hint="eastAsia" w:ascii="仿宋" w:hAnsi="仿宋" w:eastAsia="仿宋" w:cs="仿宋"/>
          <w:color w:val="auto"/>
          <w:kern w:val="2"/>
          <w:sz w:val="28"/>
          <w:szCs w:val="20"/>
          <w:highlight w:val="none"/>
        </w:rPr>
        <w:t>物权资产明细表</w:t>
      </w:r>
    </w:p>
    <w:p>
      <w:pPr>
        <w:spacing w:after="0" w:line="240" w:lineRule="auto"/>
        <w:jc w:val="right"/>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rPr>
        <w:t>基准日：</w:t>
      </w:r>
      <w:r>
        <w:rPr>
          <w:rFonts w:hint="eastAsia" w:ascii="仿宋" w:hAnsi="仿宋" w:eastAsia="仿宋" w:cs="仿宋"/>
          <w:color w:val="auto"/>
          <w:kern w:val="2"/>
          <w:szCs w:val="20"/>
          <w:highlight w:val="none"/>
          <w:lang w:val="en-US" w:eastAsia="zh-CN"/>
        </w:rPr>
        <w:t xml:space="preserve">  </w:t>
      </w:r>
      <w:r>
        <w:rPr>
          <w:rFonts w:hint="eastAsia" w:ascii="仿宋" w:hAnsi="仿宋" w:eastAsia="仿宋" w:cs="仿宋"/>
          <w:color w:val="auto"/>
          <w:kern w:val="2"/>
          <w:szCs w:val="20"/>
          <w:highlight w:val="none"/>
        </w:rPr>
        <w:t>年</w:t>
      </w:r>
      <w:r>
        <w:rPr>
          <w:rFonts w:hint="eastAsia" w:ascii="仿宋" w:hAnsi="仿宋" w:eastAsia="仿宋" w:cs="仿宋"/>
          <w:color w:val="auto"/>
          <w:kern w:val="2"/>
          <w:szCs w:val="20"/>
          <w:highlight w:val="none"/>
          <w:lang w:val="en-US" w:eastAsia="zh-CN"/>
        </w:rPr>
        <w:t xml:space="preserve">  </w:t>
      </w:r>
      <w:r>
        <w:rPr>
          <w:rFonts w:hint="eastAsia" w:ascii="仿宋" w:hAnsi="仿宋" w:eastAsia="仿宋" w:cs="仿宋"/>
          <w:color w:val="auto"/>
          <w:kern w:val="2"/>
          <w:szCs w:val="20"/>
          <w:highlight w:val="none"/>
        </w:rPr>
        <w:t>月</w:t>
      </w:r>
      <w:r>
        <w:rPr>
          <w:rFonts w:hint="eastAsia" w:ascii="仿宋" w:hAnsi="仿宋" w:eastAsia="仿宋" w:cs="仿宋"/>
          <w:color w:val="auto"/>
          <w:kern w:val="2"/>
          <w:szCs w:val="20"/>
          <w:highlight w:val="none"/>
          <w:lang w:val="en-US" w:eastAsia="zh-CN"/>
        </w:rPr>
        <w:t xml:space="preserve">  </w:t>
      </w:r>
      <w:r>
        <w:rPr>
          <w:rFonts w:hint="eastAsia" w:ascii="仿宋" w:hAnsi="仿宋" w:eastAsia="仿宋" w:cs="仿宋"/>
          <w:color w:val="auto"/>
          <w:kern w:val="2"/>
          <w:szCs w:val="20"/>
          <w:highlight w:val="none"/>
        </w:rPr>
        <w:t>日单位：万元，平方米，辆，台</w:t>
      </w:r>
    </w:p>
    <w:tbl>
      <w:tblPr>
        <w:tblStyle w:val="33"/>
        <w:tblW w:w="91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332"/>
        <w:gridCol w:w="1332"/>
        <w:gridCol w:w="1176"/>
        <w:gridCol w:w="420"/>
        <w:gridCol w:w="1512"/>
        <w:gridCol w:w="1297"/>
        <w:gridCol w:w="13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71" w:type="dxa"/>
            <w:vAlign w:val="center"/>
          </w:tcPr>
          <w:p>
            <w:pPr>
              <w:spacing w:after="0" w:line="240" w:lineRule="auto"/>
              <w:jc w:val="center"/>
              <w:rPr>
                <w:rFonts w:hint="eastAsia" w:ascii="仿宋" w:hAnsi="仿宋" w:eastAsia="仿宋" w:cs="仿宋"/>
                <w:b/>
                <w:bCs/>
                <w:color w:val="auto"/>
                <w:kern w:val="2"/>
                <w:szCs w:val="20"/>
                <w:highlight w:val="none"/>
              </w:rPr>
            </w:pPr>
            <w:r>
              <w:rPr>
                <w:rFonts w:hint="eastAsia" w:ascii="仿宋" w:hAnsi="仿宋" w:eastAsia="仿宋" w:cs="仿宋"/>
                <w:b/>
                <w:bCs/>
                <w:color w:val="auto"/>
                <w:kern w:val="2"/>
                <w:szCs w:val="20"/>
                <w:highlight w:val="none"/>
              </w:rPr>
              <w:t>序号</w:t>
            </w:r>
          </w:p>
        </w:tc>
        <w:tc>
          <w:tcPr>
            <w:tcW w:w="1332" w:type="dxa"/>
            <w:vAlign w:val="center"/>
          </w:tcPr>
          <w:p>
            <w:pPr>
              <w:spacing w:after="0" w:line="240" w:lineRule="auto"/>
              <w:jc w:val="center"/>
              <w:rPr>
                <w:rFonts w:hint="eastAsia" w:ascii="仿宋" w:hAnsi="仿宋" w:eastAsia="仿宋" w:cs="仿宋"/>
                <w:b/>
                <w:bCs/>
                <w:color w:val="auto"/>
                <w:kern w:val="2"/>
                <w:szCs w:val="20"/>
                <w:highlight w:val="none"/>
              </w:rPr>
            </w:pPr>
            <w:r>
              <w:rPr>
                <w:rFonts w:hint="eastAsia" w:ascii="仿宋" w:hAnsi="仿宋" w:eastAsia="仿宋" w:cs="仿宋"/>
                <w:b/>
                <w:bCs/>
                <w:color w:val="auto"/>
                <w:kern w:val="2"/>
                <w:szCs w:val="20"/>
                <w:highlight w:val="none"/>
              </w:rPr>
              <w:t>资产名称</w:t>
            </w:r>
          </w:p>
        </w:tc>
        <w:tc>
          <w:tcPr>
            <w:tcW w:w="1332" w:type="dxa"/>
            <w:vAlign w:val="center"/>
          </w:tcPr>
          <w:p>
            <w:pPr>
              <w:spacing w:after="0" w:line="240" w:lineRule="auto"/>
              <w:jc w:val="center"/>
              <w:rPr>
                <w:rFonts w:hint="eastAsia" w:ascii="仿宋" w:hAnsi="仿宋" w:eastAsia="仿宋" w:cs="仿宋"/>
                <w:b/>
                <w:bCs/>
                <w:color w:val="auto"/>
                <w:kern w:val="2"/>
                <w:szCs w:val="20"/>
                <w:highlight w:val="none"/>
              </w:rPr>
            </w:pPr>
            <w:r>
              <w:rPr>
                <w:rFonts w:hint="eastAsia" w:ascii="仿宋" w:hAnsi="仿宋" w:eastAsia="仿宋" w:cs="仿宋"/>
                <w:b/>
                <w:bCs/>
                <w:color w:val="auto"/>
                <w:kern w:val="2"/>
                <w:szCs w:val="20"/>
                <w:highlight w:val="none"/>
              </w:rPr>
              <w:t>资产所在地</w:t>
            </w:r>
          </w:p>
        </w:tc>
        <w:tc>
          <w:tcPr>
            <w:tcW w:w="1596" w:type="dxa"/>
            <w:gridSpan w:val="2"/>
            <w:vAlign w:val="center"/>
          </w:tcPr>
          <w:p>
            <w:pPr>
              <w:spacing w:after="0" w:line="240" w:lineRule="auto"/>
              <w:jc w:val="center"/>
              <w:rPr>
                <w:rFonts w:hint="eastAsia" w:ascii="仿宋" w:hAnsi="仿宋" w:eastAsia="仿宋" w:cs="仿宋"/>
                <w:b/>
                <w:bCs/>
                <w:color w:val="auto"/>
                <w:kern w:val="2"/>
                <w:szCs w:val="20"/>
                <w:highlight w:val="none"/>
              </w:rPr>
            </w:pPr>
            <w:r>
              <w:rPr>
                <w:rFonts w:hint="eastAsia" w:ascii="仿宋" w:hAnsi="仿宋" w:eastAsia="仿宋" w:cs="仿宋"/>
                <w:b/>
                <w:bCs/>
                <w:color w:val="auto"/>
                <w:kern w:val="2"/>
                <w:szCs w:val="20"/>
                <w:highlight w:val="none"/>
              </w:rPr>
              <w:t>账面金额</w:t>
            </w:r>
          </w:p>
        </w:tc>
        <w:tc>
          <w:tcPr>
            <w:tcW w:w="1512" w:type="dxa"/>
            <w:vAlign w:val="center"/>
          </w:tcPr>
          <w:p>
            <w:pPr>
              <w:spacing w:after="0" w:line="240" w:lineRule="auto"/>
              <w:jc w:val="center"/>
              <w:rPr>
                <w:rFonts w:hint="eastAsia" w:ascii="仿宋" w:hAnsi="仿宋" w:eastAsia="仿宋" w:cs="仿宋"/>
                <w:b/>
                <w:bCs/>
                <w:color w:val="auto"/>
                <w:kern w:val="2"/>
                <w:szCs w:val="20"/>
                <w:highlight w:val="none"/>
              </w:rPr>
            </w:pPr>
            <w:r>
              <w:rPr>
                <w:rFonts w:hint="eastAsia" w:ascii="仿宋" w:hAnsi="仿宋" w:eastAsia="仿宋" w:cs="仿宋"/>
                <w:b/>
                <w:bCs/>
                <w:color w:val="auto"/>
                <w:kern w:val="2"/>
                <w:szCs w:val="20"/>
                <w:highlight w:val="none"/>
              </w:rPr>
              <w:t>数量</w:t>
            </w:r>
          </w:p>
        </w:tc>
        <w:tc>
          <w:tcPr>
            <w:tcW w:w="1297" w:type="dxa"/>
            <w:vAlign w:val="center"/>
          </w:tcPr>
          <w:p>
            <w:pPr>
              <w:spacing w:after="0" w:line="240" w:lineRule="auto"/>
              <w:jc w:val="center"/>
              <w:rPr>
                <w:rFonts w:hint="eastAsia" w:ascii="仿宋" w:hAnsi="仿宋" w:eastAsia="仿宋" w:cs="仿宋"/>
                <w:b/>
                <w:bCs/>
                <w:color w:val="auto"/>
                <w:kern w:val="2"/>
                <w:szCs w:val="20"/>
                <w:highlight w:val="none"/>
              </w:rPr>
            </w:pPr>
            <w:r>
              <w:rPr>
                <w:rFonts w:hint="eastAsia" w:ascii="仿宋" w:hAnsi="仿宋" w:eastAsia="仿宋" w:cs="仿宋"/>
                <w:b/>
                <w:bCs/>
                <w:color w:val="auto"/>
                <w:kern w:val="2"/>
                <w:szCs w:val="20"/>
                <w:highlight w:val="none"/>
              </w:rPr>
              <w:t>资产类型</w:t>
            </w:r>
          </w:p>
        </w:tc>
        <w:tc>
          <w:tcPr>
            <w:tcW w:w="1358" w:type="dxa"/>
            <w:vAlign w:val="center"/>
          </w:tcPr>
          <w:p>
            <w:pPr>
              <w:spacing w:after="0" w:line="240" w:lineRule="auto"/>
              <w:jc w:val="center"/>
              <w:rPr>
                <w:rFonts w:hint="eastAsia" w:ascii="仿宋" w:hAnsi="仿宋" w:eastAsia="仿宋" w:cs="仿宋"/>
                <w:b/>
                <w:bCs/>
                <w:color w:val="auto"/>
                <w:kern w:val="2"/>
                <w:szCs w:val="20"/>
                <w:highlight w:val="none"/>
              </w:rPr>
            </w:pPr>
            <w:r>
              <w:rPr>
                <w:rFonts w:hint="eastAsia" w:ascii="仿宋" w:hAnsi="仿宋" w:eastAsia="仿宋" w:cs="仿宋"/>
                <w:b/>
                <w:bCs/>
                <w:color w:val="auto"/>
                <w:kern w:val="2"/>
                <w:szCs w:val="20"/>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71" w:type="dxa"/>
            <w:vAlign w:val="top"/>
          </w:tcPr>
          <w:p>
            <w:pPr>
              <w:spacing w:after="0" w:line="240" w:lineRule="auto"/>
              <w:jc w:val="center"/>
              <w:rPr>
                <w:rFonts w:hint="eastAsia" w:ascii="仿宋" w:hAnsi="仿宋" w:eastAsia="仿宋" w:cs="仿宋"/>
                <w:color w:val="auto"/>
                <w:kern w:val="2"/>
                <w:szCs w:val="20"/>
                <w:highlight w:val="none"/>
                <w:lang w:val="en-US" w:eastAsia="zh-CN"/>
              </w:rPr>
            </w:pPr>
            <w:r>
              <w:rPr>
                <w:rFonts w:hint="eastAsia" w:ascii="仿宋" w:hAnsi="仿宋" w:eastAsia="仿宋" w:cs="仿宋"/>
                <w:color w:val="auto"/>
                <w:kern w:val="2"/>
                <w:szCs w:val="20"/>
                <w:highlight w:val="none"/>
                <w:lang w:val="en-US" w:eastAsia="zh-CN"/>
              </w:rPr>
              <w:t>/</w:t>
            </w:r>
          </w:p>
        </w:tc>
        <w:tc>
          <w:tcPr>
            <w:tcW w:w="1332" w:type="dxa"/>
            <w:vAlign w:val="top"/>
          </w:tcPr>
          <w:p>
            <w:pPr>
              <w:spacing w:after="0" w:line="240" w:lineRule="auto"/>
              <w:jc w:val="center"/>
              <w:rPr>
                <w:rFonts w:hint="eastAsia" w:ascii="仿宋" w:hAnsi="仿宋" w:eastAsia="仿宋" w:cs="仿宋"/>
                <w:color w:val="auto"/>
                <w:kern w:val="2"/>
                <w:szCs w:val="20"/>
                <w:highlight w:val="none"/>
                <w:lang w:val="en-US" w:eastAsia="zh-CN"/>
              </w:rPr>
            </w:pPr>
            <w:r>
              <w:rPr>
                <w:rFonts w:hint="eastAsia" w:ascii="仿宋" w:hAnsi="仿宋" w:eastAsia="仿宋" w:cs="仿宋"/>
                <w:color w:val="auto"/>
                <w:kern w:val="2"/>
                <w:szCs w:val="20"/>
                <w:highlight w:val="none"/>
                <w:lang w:val="en-US" w:eastAsia="zh-CN"/>
              </w:rPr>
              <w:t>/</w:t>
            </w:r>
          </w:p>
        </w:tc>
        <w:tc>
          <w:tcPr>
            <w:tcW w:w="1332"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596" w:type="dxa"/>
            <w:gridSpan w:val="2"/>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512"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297"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358"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71"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332"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332"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596" w:type="dxa"/>
            <w:gridSpan w:val="2"/>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512"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297"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358"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71"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332"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332"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596" w:type="dxa"/>
            <w:gridSpan w:val="2"/>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512"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297"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358"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1"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332"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332"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596" w:type="dxa"/>
            <w:gridSpan w:val="2"/>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512"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297"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358"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71"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332"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332"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596" w:type="dxa"/>
            <w:gridSpan w:val="2"/>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512"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297"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358"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71"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332"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332"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596" w:type="dxa"/>
            <w:gridSpan w:val="2"/>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512"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297"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358"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71" w:type="dxa"/>
            <w:tcBorders>
              <w:bottom w:val="single" w:color="auto" w:sz="12" w:space="0"/>
            </w:tcBorders>
          </w:tcPr>
          <w:p>
            <w:pPr>
              <w:spacing w:after="0" w:line="240" w:lineRule="auto"/>
              <w:jc w:val="center"/>
              <w:rPr>
                <w:rFonts w:hint="eastAsia" w:ascii="仿宋" w:hAnsi="仿宋" w:eastAsia="仿宋" w:cs="仿宋"/>
                <w:b/>
                <w:bCs/>
                <w:color w:val="auto"/>
                <w:kern w:val="2"/>
                <w:szCs w:val="20"/>
                <w:highlight w:val="none"/>
              </w:rPr>
            </w:pPr>
            <w:r>
              <w:rPr>
                <w:rFonts w:hint="eastAsia" w:ascii="仿宋" w:hAnsi="仿宋" w:eastAsia="仿宋" w:cs="仿宋"/>
                <w:b/>
                <w:bCs/>
                <w:color w:val="auto"/>
                <w:kern w:val="2"/>
                <w:szCs w:val="20"/>
                <w:highlight w:val="none"/>
              </w:rPr>
              <w:t>合计</w:t>
            </w:r>
          </w:p>
        </w:tc>
        <w:tc>
          <w:tcPr>
            <w:tcW w:w="1332" w:type="dxa"/>
            <w:tcBorders>
              <w:bottom w:val="single" w:color="auto" w:sz="12" w:space="0"/>
            </w:tcBorders>
            <w:vAlign w:val="top"/>
          </w:tcPr>
          <w:p>
            <w:pPr>
              <w:spacing w:after="0" w:line="240" w:lineRule="auto"/>
              <w:jc w:val="center"/>
              <w:rPr>
                <w:rFonts w:hint="eastAsia" w:ascii="仿宋" w:hAnsi="仿宋" w:eastAsia="仿宋" w:cs="仿宋"/>
                <w:b/>
                <w:bCs/>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332" w:type="dxa"/>
            <w:tcBorders>
              <w:bottom w:val="single" w:color="auto" w:sz="12" w:space="0"/>
            </w:tcBorders>
            <w:vAlign w:val="top"/>
          </w:tcPr>
          <w:p>
            <w:pPr>
              <w:spacing w:after="0" w:line="240" w:lineRule="auto"/>
              <w:jc w:val="center"/>
              <w:rPr>
                <w:rFonts w:hint="eastAsia" w:ascii="仿宋" w:hAnsi="仿宋" w:eastAsia="仿宋" w:cs="仿宋"/>
                <w:b/>
                <w:bCs/>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596" w:type="dxa"/>
            <w:gridSpan w:val="2"/>
            <w:tcBorders>
              <w:bottom w:val="single" w:color="auto" w:sz="12" w:space="0"/>
            </w:tcBorders>
            <w:vAlign w:val="top"/>
          </w:tcPr>
          <w:p>
            <w:pPr>
              <w:spacing w:after="0" w:line="240" w:lineRule="auto"/>
              <w:jc w:val="center"/>
              <w:rPr>
                <w:rFonts w:hint="eastAsia" w:ascii="仿宋" w:hAnsi="仿宋" w:eastAsia="仿宋" w:cs="仿宋"/>
                <w:b/>
                <w:bCs/>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512" w:type="dxa"/>
            <w:tcBorders>
              <w:bottom w:val="single" w:color="auto" w:sz="12" w:space="0"/>
            </w:tcBorders>
            <w:vAlign w:val="top"/>
          </w:tcPr>
          <w:p>
            <w:pPr>
              <w:spacing w:after="0" w:line="240" w:lineRule="auto"/>
              <w:jc w:val="center"/>
              <w:rPr>
                <w:rFonts w:hint="eastAsia" w:ascii="仿宋" w:hAnsi="仿宋" w:eastAsia="仿宋" w:cs="仿宋"/>
                <w:b/>
                <w:bCs/>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297" w:type="dxa"/>
            <w:tcBorders>
              <w:bottom w:val="single" w:color="auto" w:sz="12" w:space="0"/>
            </w:tcBorders>
            <w:vAlign w:val="top"/>
          </w:tcPr>
          <w:p>
            <w:pPr>
              <w:spacing w:after="0" w:line="240" w:lineRule="auto"/>
              <w:jc w:val="center"/>
              <w:rPr>
                <w:rFonts w:hint="eastAsia" w:ascii="仿宋" w:hAnsi="仿宋" w:eastAsia="仿宋" w:cs="仿宋"/>
                <w:b/>
                <w:bCs/>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358" w:type="dxa"/>
            <w:tcBorders>
              <w:bottom w:val="single" w:color="auto" w:sz="12" w:space="0"/>
            </w:tcBorders>
            <w:vAlign w:val="top"/>
          </w:tcPr>
          <w:p>
            <w:pPr>
              <w:spacing w:after="0" w:line="240" w:lineRule="auto"/>
              <w:jc w:val="center"/>
              <w:rPr>
                <w:rFonts w:hint="eastAsia" w:ascii="仿宋" w:hAnsi="仿宋" w:eastAsia="仿宋" w:cs="仿宋"/>
                <w:b/>
                <w:bCs/>
                <w:color w:val="auto"/>
                <w:kern w:val="2"/>
                <w:szCs w:val="20"/>
                <w:highlight w:val="none"/>
              </w:rPr>
            </w:pPr>
            <w:r>
              <w:rPr>
                <w:rFonts w:hint="eastAsia" w:ascii="仿宋" w:hAnsi="仿宋" w:eastAsia="仿宋" w:cs="仿宋"/>
                <w:color w:val="auto"/>
                <w:kern w:val="2"/>
                <w:szCs w:val="20"/>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4611" w:type="dxa"/>
            <w:gridSpan w:val="4"/>
            <w:tcBorders>
              <w:top w:val="single" w:color="auto" w:sz="12" w:space="0"/>
              <w:bottom w:val="single" w:color="auto" w:sz="4" w:space="0"/>
            </w:tcBorders>
          </w:tcPr>
          <w:p>
            <w:pPr>
              <w:spacing w:after="0" w:line="240" w:lineRule="auto"/>
              <w:jc w:val="left"/>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rPr>
              <w:t>甲方（出让方）签章</w:t>
            </w:r>
          </w:p>
          <w:p>
            <w:pPr>
              <w:spacing w:after="0" w:line="240" w:lineRule="auto"/>
              <w:jc w:val="left"/>
              <w:rPr>
                <w:rFonts w:hint="eastAsia" w:ascii="仿宋" w:hAnsi="仿宋" w:eastAsia="仿宋" w:cs="仿宋"/>
                <w:color w:val="auto"/>
                <w:kern w:val="2"/>
                <w:szCs w:val="20"/>
                <w:highlight w:val="none"/>
              </w:rPr>
            </w:pPr>
          </w:p>
          <w:p>
            <w:pPr>
              <w:spacing w:after="0" w:line="240" w:lineRule="auto"/>
              <w:jc w:val="left"/>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rPr>
              <w:t>法定代表人/负责人</w:t>
            </w:r>
          </w:p>
          <w:p>
            <w:pPr>
              <w:spacing w:after="0" w:line="240" w:lineRule="auto"/>
              <w:jc w:val="left"/>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rPr>
              <w:t>（或授权代理人）</w:t>
            </w:r>
          </w:p>
          <w:p>
            <w:pPr>
              <w:wordWrap w:val="0"/>
              <w:spacing w:after="0" w:line="240" w:lineRule="auto"/>
              <w:jc w:val="right"/>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rPr>
              <w:t>年</w:t>
            </w:r>
            <w:r>
              <w:rPr>
                <w:rFonts w:hint="eastAsia" w:ascii="仿宋" w:hAnsi="仿宋" w:eastAsia="仿宋" w:cs="仿宋"/>
                <w:color w:val="auto"/>
                <w:kern w:val="2"/>
                <w:szCs w:val="20"/>
                <w:highlight w:val="none"/>
                <w:lang w:val="en-US" w:eastAsia="zh-CN"/>
              </w:rPr>
              <w:t xml:space="preserve">    </w:t>
            </w:r>
            <w:r>
              <w:rPr>
                <w:rFonts w:hint="eastAsia" w:ascii="仿宋" w:hAnsi="仿宋" w:eastAsia="仿宋" w:cs="仿宋"/>
                <w:color w:val="auto"/>
                <w:kern w:val="2"/>
                <w:szCs w:val="20"/>
                <w:highlight w:val="none"/>
              </w:rPr>
              <w:t>月</w:t>
            </w:r>
            <w:r>
              <w:rPr>
                <w:rFonts w:hint="eastAsia" w:ascii="仿宋" w:hAnsi="仿宋" w:eastAsia="仿宋" w:cs="仿宋"/>
                <w:color w:val="auto"/>
                <w:kern w:val="2"/>
                <w:szCs w:val="20"/>
                <w:highlight w:val="none"/>
                <w:lang w:val="en-US" w:eastAsia="zh-CN"/>
              </w:rPr>
              <w:t xml:space="preserve">    </w:t>
            </w:r>
            <w:r>
              <w:rPr>
                <w:rFonts w:hint="eastAsia" w:ascii="仿宋" w:hAnsi="仿宋" w:eastAsia="仿宋" w:cs="仿宋"/>
                <w:color w:val="auto"/>
                <w:kern w:val="2"/>
                <w:szCs w:val="20"/>
                <w:highlight w:val="none"/>
              </w:rPr>
              <w:t>日</w:t>
            </w:r>
          </w:p>
        </w:tc>
        <w:tc>
          <w:tcPr>
            <w:tcW w:w="4587" w:type="dxa"/>
            <w:gridSpan w:val="4"/>
            <w:tcBorders>
              <w:top w:val="single" w:color="auto" w:sz="12" w:space="0"/>
              <w:bottom w:val="single" w:color="auto" w:sz="4" w:space="0"/>
            </w:tcBorders>
          </w:tcPr>
          <w:p>
            <w:pPr>
              <w:spacing w:after="0" w:line="240" w:lineRule="auto"/>
              <w:jc w:val="left"/>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rPr>
              <w:t>乙方（受让方）签章</w:t>
            </w:r>
          </w:p>
          <w:p>
            <w:pPr>
              <w:spacing w:after="0" w:line="240" w:lineRule="auto"/>
              <w:jc w:val="left"/>
              <w:rPr>
                <w:rFonts w:hint="eastAsia" w:ascii="仿宋" w:hAnsi="仿宋" w:eastAsia="仿宋" w:cs="仿宋"/>
                <w:color w:val="auto"/>
                <w:kern w:val="2"/>
                <w:szCs w:val="20"/>
                <w:highlight w:val="none"/>
              </w:rPr>
            </w:pPr>
          </w:p>
          <w:p>
            <w:pPr>
              <w:spacing w:after="0" w:line="240" w:lineRule="auto"/>
              <w:jc w:val="left"/>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rPr>
              <w:t>法定代表人/负责人</w:t>
            </w:r>
          </w:p>
          <w:p>
            <w:pPr>
              <w:spacing w:after="0" w:line="240" w:lineRule="auto"/>
              <w:jc w:val="left"/>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rPr>
              <w:t>（或授权代理人）</w:t>
            </w:r>
          </w:p>
          <w:p>
            <w:pPr>
              <w:spacing w:after="0" w:line="240" w:lineRule="auto"/>
              <w:jc w:val="right"/>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rPr>
              <w:t>年</w:t>
            </w:r>
            <w:r>
              <w:rPr>
                <w:rFonts w:hint="eastAsia" w:ascii="仿宋" w:hAnsi="仿宋" w:eastAsia="仿宋" w:cs="仿宋"/>
                <w:color w:val="auto"/>
                <w:kern w:val="2"/>
                <w:szCs w:val="20"/>
                <w:highlight w:val="none"/>
                <w:lang w:val="en-US" w:eastAsia="zh-CN"/>
              </w:rPr>
              <w:t xml:space="preserve">    </w:t>
            </w:r>
            <w:r>
              <w:rPr>
                <w:rFonts w:hint="eastAsia" w:ascii="仿宋" w:hAnsi="仿宋" w:eastAsia="仿宋" w:cs="仿宋"/>
                <w:color w:val="auto"/>
                <w:kern w:val="2"/>
                <w:szCs w:val="20"/>
                <w:highlight w:val="none"/>
              </w:rPr>
              <w:t>月</w:t>
            </w:r>
            <w:r>
              <w:rPr>
                <w:rFonts w:hint="eastAsia" w:ascii="仿宋" w:hAnsi="仿宋" w:eastAsia="仿宋" w:cs="仿宋"/>
                <w:color w:val="auto"/>
                <w:kern w:val="2"/>
                <w:szCs w:val="20"/>
                <w:highlight w:val="none"/>
                <w:lang w:val="en-US" w:eastAsia="zh-CN"/>
              </w:rPr>
              <w:t xml:space="preserve">    </w:t>
            </w:r>
            <w:r>
              <w:rPr>
                <w:rFonts w:hint="eastAsia" w:ascii="仿宋" w:hAnsi="仿宋" w:eastAsia="仿宋" w:cs="仿宋"/>
                <w:color w:val="auto"/>
                <w:kern w:val="2"/>
                <w:szCs w:val="20"/>
                <w:highlight w:val="none"/>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198" w:type="dxa"/>
            <w:gridSpan w:val="8"/>
            <w:tcBorders>
              <w:top w:val="single" w:color="auto" w:sz="4" w:space="0"/>
            </w:tcBorders>
          </w:tcPr>
          <w:p>
            <w:pPr>
              <w:spacing w:after="0" w:line="240" w:lineRule="auto"/>
              <w:jc w:val="left"/>
              <w:rPr>
                <w:rFonts w:hint="eastAsia" w:ascii="仿宋" w:hAnsi="仿宋" w:eastAsia="仿宋" w:cs="仿宋"/>
                <w:color w:val="auto"/>
                <w:kern w:val="2"/>
                <w:szCs w:val="20"/>
                <w:highlight w:val="none"/>
                <w:u w:val="single"/>
              </w:rPr>
            </w:pPr>
            <w:r>
              <w:rPr>
                <w:rFonts w:hint="eastAsia" w:ascii="仿宋" w:hAnsi="仿宋" w:eastAsia="仿宋" w:cs="仿宋"/>
                <w:color w:val="auto"/>
                <w:spacing w:val="2"/>
                <w:kern w:val="2"/>
                <w:szCs w:val="18"/>
                <w:highlight w:val="none"/>
              </w:rPr>
              <w:t>本明细表经核实无误，作为编号《不良资产批量转让协议》的组成部分。明细表一式份，双方当事人各执份。</w:t>
            </w:r>
          </w:p>
        </w:tc>
      </w:tr>
    </w:tbl>
    <w:p>
      <w:pPr>
        <w:spacing w:after="0" w:line="240" w:lineRule="auto"/>
        <w:jc w:val="left"/>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rPr>
        <w:t>注：资产类型：指土地、建筑物、机器设备</w:t>
      </w:r>
    </w:p>
    <w:bookmarkEnd w:id="319"/>
    <w:p>
      <w:pPr>
        <w:spacing w:after="0" w:line="240" w:lineRule="auto"/>
        <w:jc w:val="right"/>
        <w:rPr>
          <w:rFonts w:hint="eastAsia" w:ascii="仿宋" w:hAnsi="仿宋" w:eastAsia="仿宋" w:cs="仿宋"/>
          <w:color w:val="auto"/>
          <w:kern w:val="2"/>
          <w:szCs w:val="20"/>
          <w:highlight w:val="none"/>
        </w:rPr>
      </w:pPr>
    </w:p>
    <w:p>
      <w:pPr>
        <w:spacing w:after="0" w:line="240" w:lineRule="auto"/>
        <w:rPr>
          <w:rFonts w:hint="eastAsia" w:ascii="仿宋" w:hAnsi="仿宋" w:eastAsia="仿宋" w:cs="仿宋"/>
          <w:color w:val="auto"/>
          <w:kern w:val="2"/>
          <w:sz w:val="20"/>
          <w:szCs w:val="20"/>
          <w:highlight w:val="none"/>
        </w:rPr>
      </w:pPr>
      <w:r>
        <w:rPr>
          <w:rFonts w:hint="eastAsia" w:ascii="仿宋" w:hAnsi="仿宋" w:eastAsia="仿宋" w:cs="仿宋"/>
          <w:color w:val="auto"/>
          <w:kern w:val="2"/>
          <w:sz w:val="20"/>
          <w:szCs w:val="20"/>
          <w:highlight w:val="none"/>
        </w:rPr>
        <w:br w:type="page"/>
      </w:r>
    </w:p>
    <w:p>
      <w:pPr>
        <w:spacing w:after="0" w:line="240" w:lineRule="auto"/>
        <w:rPr>
          <w:rFonts w:hint="eastAsia" w:ascii="仿宋" w:hAnsi="仿宋" w:eastAsia="仿宋" w:cs="仿宋"/>
          <w:color w:val="auto"/>
          <w:kern w:val="2"/>
          <w:sz w:val="20"/>
          <w:szCs w:val="20"/>
          <w:highlight w:val="none"/>
        </w:rPr>
      </w:pPr>
      <w:bookmarkStart w:id="320" w:name="PO_075"/>
      <w:r>
        <w:rPr>
          <w:rFonts w:hint="eastAsia" w:ascii="仿宋" w:hAnsi="仿宋" w:eastAsia="仿宋" w:cs="仿宋"/>
          <w:color w:val="auto"/>
          <w:kern w:val="2"/>
          <w:sz w:val="20"/>
          <w:szCs w:val="20"/>
          <w:highlight w:val="none"/>
        </w:rPr>
        <w:t>附1-3</w:t>
      </w:r>
    </w:p>
    <w:p>
      <w:pPr>
        <w:spacing w:after="0" w:line="240" w:lineRule="auto"/>
        <w:jc w:val="center"/>
        <w:rPr>
          <w:rFonts w:hint="eastAsia" w:ascii="仿宋" w:hAnsi="仿宋" w:eastAsia="仿宋" w:cs="仿宋"/>
          <w:color w:val="auto"/>
          <w:kern w:val="2"/>
          <w:sz w:val="28"/>
          <w:szCs w:val="20"/>
          <w:highlight w:val="none"/>
        </w:rPr>
      </w:pPr>
      <w:r>
        <w:rPr>
          <w:rFonts w:hint="eastAsia" w:ascii="仿宋" w:hAnsi="仿宋" w:eastAsia="仿宋" w:cs="仿宋"/>
          <w:color w:val="auto"/>
          <w:kern w:val="2"/>
          <w:sz w:val="28"/>
          <w:szCs w:val="20"/>
          <w:highlight w:val="none"/>
        </w:rPr>
        <w:t>股权资产明细表</w:t>
      </w:r>
    </w:p>
    <w:p>
      <w:pPr>
        <w:spacing w:after="0" w:line="240" w:lineRule="auto"/>
        <w:jc w:val="right"/>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rPr>
        <w:t>基准日：年</w:t>
      </w:r>
      <w:r>
        <w:rPr>
          <w:rFonts w:hint="eastAsia" w:ascii="仿宋" w:hAnsi="仿宋" w:eastAsia="仿宋" w:cs="仿宋"/>
          <w:color w:val="auto"/>
          <w:kern w:val="2"/>
          <w:szCs w:val="20"/>
          <w:highlight w:val="none"/>
          <w:lang w:val="en-US" w:eastAsia="zh-CN"/>
        </w:rPr>
        <w:t xml:space="preserve">  </w:t>
      </w:r>
      <w:r>
        <w:rPr>
          <w:rFonts w:hint="eastAsia" w:ascii="仿宋" w:hAnsi="仿宋" w:eastAsia="仿宋" w:cs="仿宋"/>
          <w:color w:val="auto"/>
          <w:kern w:val="2"/>
          <w:szCs w:val="20"/>
          <w:highlight w:val="none"/>
        </w:rPr>
        <w:t>月</w:t>
      </w:r>
      <w:r>
        <w:rPr>
          <w:rFonts w:hint="eastAsia" w:ascii="仿宋" w:hAnsi="仿宋" w:eastAsia="仿宋" w:cs="仿宋"/>
          <w:color w:val="auto"/>
          <w:kern w:val="2"/>
          <w:szCs w:val="20"/>
          <w:highlight w:val="none"/>
          <w:lang w:val="en-US" w:eastAsia="zh-CN"/>
        </w:rPr>
        <w:t xml:space="preserve">  </w:t>
      </w:r>
      <w:r>
        <w:rPr>
          <w:rFonts w:hint="eastAsia" w:ascii="仿宋" w:hAnsi="仿宋" w:eastAsia="仿宋" w:cs="仿宋"/>
          <w:color w:val="auto"/>
          <w:kern w:val="2"/>
          <w:szCs w:val="20"/>
          <w:highlight w:val="none"/>
        </w:rPr>
        <w:t>日单位：万元，股</w:t>
      </w:r>
    </w:p>
    <w:tbl>
      <w:tblPr>
        <w:tblStyle w:val="33"/>
        <w:tblW w:w="91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657"/>
        <w:gridCol w:w="2135"/>
        <w:gridCol w:w="1428"/>
        <w:gridCol w:w="2064"/>
        <w:gridCol w:w="11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71" w:type="dxa"/>
            <w:vAlign w:val="center"/>
          </w:tcPr>
          <w:p>
            <w:pPr>
              <w:spacing w:after="0" w:line="240" w:lineRule="auto"/>
              <w:jc w:val="center"/>
              <w:rPr>
                <w:rFonts w:hint="eastAsia" w:ascii="仿宋" w:hAnsi="仿宋" w:eastAsia="仿宋" w:cs="仿宋"/>
                <w:b/>
                <w:bCs/>
                <w:color w:val="auto"/>
                <w:kern w:val="2"/>
                <w:szCs w:val="20"/>
                <w:highlight w:val="none"/>
              </w:rPr>
            </w:pPr>
            <w:r>
              <w:rPr>
                <w:rFonts w:hint="eastAsia" w:ascii="仿宋" w:hAnsi="仿宋" w:eastAsia="仿宋" w:cs="仿宋"/>
                <w:b/>
                <w:bCs/>
                <w:color w:val="auto"/>
                <w:kern w:val="2"/>
                <w:szCs w:val="20"/>
                <w:highlight w:val="none"/>
              </w:rPr>
              <w:t>序号</w:t>
            </w:r>
          </w:p>
        </w:tc>
        <w:tc>
          <w:tcPr>
            <w:tcW w:w="1657" w:type="dxa"/>
            <w:vAlign w:val="center"/>
          </w:tcPr>
          <w:p>
            <w:pPr>
              <w:spacing w:after="0" w:line="240" w:lineRule="auto"/>
              <w:jc w:val="center"/>
              <w:rPr>
                <w:rFonts w:hint="eastAsia" w:ascii="仿宋" w:hAnsi="仿宋" w:eastAsia="仿宋" w:cs="仿宋"/>
                <w:b/>
                <w:bCs/>
                <w:color w:val="auto"/>
                <w:kern w:val="2"/>
                <w:szCs w:val="20"/>
                <w:highlight w:val="none"/>
              </w:rPr>
            </w:pPr>
            <w:r>
              <w:rPr>
                <w:rFonts w:hint="eastAsia" w:ascii="仿宋" w:hAnsi="仿宋" w:eastAsia="仿宋" w:cs="仿宋"/>
                <w:b/>
                <w:bCs/>
                <w:color w:val="auto"/>
                <w:kern w:val="2"/>
                <w:szCs w:val="20"/>
                <w:highlight w:val="none"/>
              </w:rPr>
              <w:t>股权名称</w:t>
            </w:r>
          </w:p>
        </w:tc>
        <w:tc>
          <w:tcPr>
            <w:tcW w:w="2135" w:type="dxa"/>
            <w:vAlign w:val="center"/>
          </w:tcPr>
          <w:p>
            <w:pPr>
              <w:spacing w:after="0" w:line="240" w:lineRule="auto"/>
              <w:jc w:val="center"/>
              <w:rPr>
                <w:rFonts w:hint="eastAsia" w:ascii="仿宋" w:hAnsi="仿宋" w:eastAsia="仿宋" w:cs="仿宋"/>
                <w:b/>
                <w:bCs/>
                <w:color w:val="auto"/>
                <w:kern w:val="2"/>
                <w:szCs w:val="20"/>
                <w:highlight w:val="none"/>
              </w:rPr>
            </w:pPr>
            <w:r>
              <w:rPr>
                <w:rFonts w:hint="eastAsia" w:ascii="仿宋" w:hAnsi="仿宋" w:eastAsia="仿宋" w:cs="仿宋"/>
                <w:b/>
                <w:bCs/>
                <w:color w:val="auto"/>
                <w:kern w:val="2"/>
                <w:szCs w:val="20"/>
                <w:highlight w:val="none"/>
              </w:rPr>
              <w:t>账面金额</w:t>
            </w:r>
          </w:p>
        </w:tc>
        <w:tc>
          <w:tcPr>
            <w:tcW w:w="1428" w:type="dxa"/>
            <w:vAlign w:val="center"/>
          </w:tcPr>
          <w:p>
            <w:pPr>
              <w:spacing w:after="0" w:line="240" w:lineRule="auto"/>
              <w:jc w:val="center"/>
              <w:rPr>
                <w:rFonts w:hint="eastAsia" w:ascii="仿宋" w:hAnsi="仿宋" w:eastAsia="仿宋" w:cs="仿宋"/>
                <w:b/>
                <w:bCs/>
                <w:color w:val="auto"/>
                <w:kern w:val="2"/>
                <w:szCs w:val="20"/>
                <w:highlight w:val="none"/>
              </w:rPr>
            </w:pPr>
            <w:r>
              <w:rPr>
                <w:rFonts w:hint="eastAsia" w:ascii="仿宋" w:hAnsi="仿宋" w:eastAsia="仿宋" w:cs="仿宋"/>
                <w:b/>
                <w:bCs/>
                <w:color w:val="auto"/>
                <w:kern w:val="2"/>
                <w:szCs w:val="20"/>
                <w:highlight w:val="none"/>
              </w:rPr>
              <w:t>股数</w:t>
            </w:r>
          </w:p>
        </w:tc>
        <w:tc>
          <w:tcPr>
            <w:tcW w:w="2064" w:type="dxa"/>
            <w:vAlign w:val="center"/>
          </w:tcPr>
          <w:p>
            <w:pPr>
              <w:spacing w:after="0" w:line="240" w:lineRule="auto"/>
              <w:jc w:val="center"/>
              <w:rPr>
                <w:rFonts w:hint="eastAsia" w:ascii="仿宋" w:hAnsi="仿宋" w:eastAsia="仿宋" w:cs="仿宋"/>
                <w:b/>
                <w:bCs/>
                <w:color w:val="auto"/>
                <w:kern w:val="2"/>
                <w:szCs w:val="20"/>
                <w:highlight w:val="none"/>
              </w:rPr>
            </w:pPr>
            <w:r>
              <w:rPr>
                <w:rFonts w:hint="eastAsia" w:ascii="仿宋" w:hAnsi="仿宋" w:eastAsia="仿宋" w:cs="仿宋"/>
                <w:b/>
                <w:bCs/>
                <w:color w:val="auto"/>
                <w:kern w:val="2"/>
                <w:szCs w:val="20"/>
                <w:highlight w:val="none"/>
              </w:rPr>
              <w:t>股权证号/股票代码</w:t>
            </w:r>
          </w:p>
        </w:tc>
        <w:tc>
          <w:tcPr>
            <w:tcW w:w="1143" w:type="dxa"/>
            <w:vAlign w:val="center"/>
          </w:tcPr>
          <w:p>
            <w:pPr>
              <w:spacing w:after="0" w:line="240" w:lineRule="auto"/>
              <w:jc w:val="center"/>
              <w:rPr>
                <w:rFonts w:hint="eastAsia" w:ascii="仿宋" w:hAnsi="仿宋" w:eastAsia="仿宋" w:cs="仿宋"/>
                <w:b/>
                <w:bCs/>
                <w:color w:val="auto"/>
                <w:kern w:val="2"/>
                <w:szCs w:val="20"/>
                <w:highlight w:val="none"/>
              </w:rPr>
            </w:pPr>
            <w:r>
              <w:rPr>
                <w:rFonts w:hint="eastAsia" w:ascii="仿宋" w:hAnsi="仿宋" w:eastAsia="仿宋" w:cs="仿宋"/>
                <w:b/>
                <w:bCs/>
                <w:color w:val="auto"/>
                <w:kern w:val="2"/>
                <w:szCs w:val="20"/>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71"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657"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2135"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428"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2064"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143"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71"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657"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2135"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428"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2064"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143"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71"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657"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2135"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428"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2064"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143"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71"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657"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2135"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428"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2064"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143"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71"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657"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2135"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428"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2064"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143"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71"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657"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2135"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428"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2064"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143" w:type="dxa"/>
            <w:vAlign w:val="top"/>
          </w:tcPr>
          <w:p>
            <w:pPr>
              <w:spacing w:after="0" w:line="240" w:lineRule="auto"/>
              <w:jc w:val="center"/>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71" w:type="dxa"/>
            <w:tcBorders>
              <w:bottom w:val="single" w:color="auto" w:sz="12" w:space="0"/>
            </w:tcBorders>
            <w:vAlign w:val="top"/>
          </w:tcPr>
          <w:p>
            <w:pPr>
              <w:spacing w:after="0" w:line="240" w:lineRule="auto"/>
              <w:jc w:val="center"/>
              <w:rPr>
                <w:rFonts w:hint="eastAsia" w:ascii="仿宋" w:hAnsi="仿宋" w:eastAsia="仿宋" w:cs="仿宋"/>
                <w:b/>
                <w:bCs/>
                <w:color w:val="auto"/>
                <w:kern w:val="2"/>
                <w:szCs w:val="20"/>
                <w:highlight w:val="none"/>
              </w:rPr>
            </w:pPr>
            <w:r>
              <w:rPr>
                <w:rFonts w:hint="eastAsia" w:ascii="仿宋" w:hAnsi="仿宋" w:eastAsia="仿宋" w:cs="仿宋"/>
                <w:b/>
                <w:bCs/>
                <w:color w:val="auto"/>
                <w:kern w:val="2"/>
                <w:szCs w:val="20"/>
                <w:highlight w:val="none"/>
              </w:rPr>
              <w:t>合计</w:t>
            </w:r>
          </w:p>
        </w:tc>
        <w:tc>
          <w:tcPr>
            <w:tcW w:w="1657" w:type="dxa"/>
            <w:tcBorders>
              <w:bottom w:val="single" w:color="auto" w:sz="12" w:space="0"/>
            </w:tcBorders>
            <w:vAlign w:val="top"/>
          </w:tcPr>
          <w:p>
            <w:pPr>
              <w:spacing w:after="0" w:line="240" w:lineRule="auto"/>
              <w:jc w:val="center"/>
              <w:rPr>
                <w:rFonts w:hint="eastAsia" w:ascii="仿宋" w:hAnsi="仿宋" w:eastAsia="仿宋" w:cs="仿宋"/>
                <w:b/>
                <w:bCs/>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2135" w:type="dxa"/>
            <w:tcBorders>
              <w:bottom w:val="single" w:color="auto" w:sz="12" w:space="0"/>
            </w:tcBorders>
            <w:vAlign w:val="top"/>
          </w:tcPr>
          <w:p>
            <w:pPr>
              <w:spacing w:after="0" w:line="240" w:lineRule="auto"/>
              <w:jc w:val="center"/>
              <w:rPr>
                <w:rFonts w:hint="eastAsia" w:ascii="仿宋" w:hAnsi="仿宋" w:eastAsia="仿宋" w:cs="仿宋"/>
                <w:b/>
                <w:bCs/>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428" w:type="dxa"/>
            <w:tcBorders>
              <w:bottom w:val="single" w:color="auto" w:sz="12" w:space="0"/>
            </w:tcBorders>
            <w:vAlign w:val="top"/>
          </w:tcPr>
          <w:p>
            <w:pPr>
              <w:spacing w:after="0" w:line="240" w:lineRule="auto"/>
              <w:jc w:val="center"/>
              <w:rPr>
                <w:rFonts w:hint="eastAsia" w:ascii="仿宋" w:hAnsi="仿宋" w:eastAsia="仿宋" w:cs="仿宋"/>
                <w:b/>
                <w:bCs/>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2064" w:type="dxa"/>
            <w:tcBorders>
              <w:bottom w:val="single" w:color="auto" w:sz="12" w:space="0"/>
            </w:tcBorders>
            <w:vAlign w:val="top"/>
          </w:tcPr>
          <w:p>
            <w:pPr>
              <w:spacing w:after="0" w:line="240" w:lineRule="auto"/>
              <w:jc w:val="center"/>
              <w:rPr>
                <w:rFonts w:hint="eastAsia" w:ascii="仿宋" w:hAnsi="仿宋" w:eastAsia="仿宋" w:cs="仿宋"/>
                <w:b/>
                <w:bCs/>
                <w:color w:val="auto"/>
                <w:kern w:val="2"/>
                <w:szCs w:val="20"/>
                <w:highlight w:val="none"/>
              </w:rPr>
            </w:pPr>
            <w:r>
              <w:rPr>
                <w:rFonts w:hint="eastAsia" w:ascii="仿宋" w:hAnsi="仿宋" w:eastAsia="仿宋" w:cs="仿宋"/>
                <w:color w:val="auto"/>
                <w:kern w:val="2"/>
                <w:szCs w:val="20"/>
                <w:highlight w:val="none"/>
                <w:lang w:val="en-US" w:eastAsia="zh-CN"/>
              </w:rPr>
              <w:t>/</w:t>
            </w:r>
          </w:p>
        </w:tc>
        <w:tc>
          <w:tcPr>
            <w:tcW w:w="1143" w:type="dxa"/>
            <w:tcBorders>
              <w:bottom w:val="single" w:color="auto" w:sz="12" w:space="0"/>
            </w:tcBorders>
            <w:vAlign w:val="top"/>
          </w:tcPr>
          <w:p>
            <w:pPr>
              <w:spacing w:after="0" w:line="240" w:lineRule="auto"/>
              <w:jc w:val="center"/>
              <w:rPr>
                <w:rFonts w:hint="eastAsia" w:ascii="仿宋" w:hAnsi="仿宋" w:eastAsia="仿宋" w:cs="仿宋"/>
                <w:b/>
                <w:bCs/>
                <w:color w:val="auto"/>
                <w:kern w:val="2"/>
                <w:szCs w:val="20"/>
                <w:highlight w:val="none"/>
              </w:rPr>
            </w:pPr>
            <w:r>
              <w:rPr>
                <w:rFonts w:hint="eastAsia" w:ascii="仿宋" w:hAnsi="仿宋" w:eastAsia="仿宋" w:cs="仿宋"/>
                <w:color w:val="auto"/>
                <w:kern w:val="2"/>
                <w:szCs w:val="20"/>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4563" w:type="dxa"/>
            <w:gridSpan w:val="3"/>
            <w:tcBorders>
              <w:top w:val="single" w:color="auto" w:sz="12" w:space="0"/>
              <w:bottom w:val="single" w:color="auto" w:sz="4" w:space="0"/>
            </w:tcBorders>
          </w:tcPr>
          <w:p>
            <w:pPr>
              <w:spacing w:after="0" w:line="240" w:lineRule="auto"/>
              <w:jc w:val="left"/>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rPr>
              <w:t>甲方（出让方）签章</w:t>
            </w:r>
          </w:p>
          <w:p>
            <w:pPr>
              <w:spacing w:after="0" w:line="240" w:lineRule="auto"/>
              <w:jc w:val="left"/>
              <w:rPr>
                <w:rFonts w:hint="eastAsia" w:ascii="仿宋" w:hAnsi="仿宋" w:eastAsia="仿宋" w:cs="仿宋"/>
                <w:color w:val="auto"/>
                <w:kern w:val="2"/>
                <w:szCs w:val="20"/>
                <w:highlight w:val="none"/>
              </w:rPr>
            </w:pPr>
          </w:p>
          <w:p>
            <w:pPr>
              <w:spacing w:after="0" w:line="240" w:lineRule="auto"/>
              <w:jc w:val="left"/>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rPr>
              <w:t>法定代表人/负责人</w:t>
            </w:r>
          </w:p>
          <w:p>
            <w:pPr>
              <w:spacing w:after="0" w:line="240" w:lineRule="auto"/>
              <w:jc w:val="left"/>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rPr>
              <w:t>（或授权代理人）</w:t>
            </w:r>
          </w:p>
          <w:p>
            <w:pPr>
              <w:wordWrap w:val="0"/>
              <w:spacing w:after="0" w:line="240" w:lineRule="auto"/>
              <w:jc w:val="right"/>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rPr>
              <w:t>年</w:t>
            </w:r>
            <w:r>
              <w:rPr>
                <w:rFonts w:hint="eastAsia" w:ascii="仿宋" w:hAnsi="仿宋" w:eastAsia="仿宋" w:cs="仿宋"/>
                <w:color w:val="auto"/>
                <w:kern w:val="2"/>
                <w:szCs w:val="20"/>
                <w:highlight w:val="none"/>
                <w:lang w:val="en-US" w:eastAsia="zh-CN"/>
              </w:rPr>
              <w:t xml:space="preserve">  </w:t>
            </w:r>
            <w:r>
              <w:rPr>
                <w:rFonts w:hint="eastAsia" w:ascii="仿宋" w:hAnsi="仿宋" w:eastAsia="仿宋" w:cs="仿宋"/>
                <w:color w:val="auto"/>
                <w:kern w:val="2"/>
                <w:szCs w:val="20"/>
                <w:highlight w:val="none"/>
              </w:rPr>
              <w:t>月</w:t>
            </w:r>
            <w:r>
              <w:rPr>
                <w:rFonts w:hint="eastAsia" w:ascii="仿宋" w:hAnsi="仿宋" w:eastAsia="仿宋" w:cs="仿宋"/>
                <w:color w:val="auto"/>
                <w:kern w:val="2"/>
                <w:szCs w:val="20"/>
                <w:highlight w:val="none"/>
                <w:lang w:val="en-US" w:eastAsia="zh-CN"/>
              </w:rPr>
              <w:t xml:space="preserve">  </w:t>
            </w:r>
            <w:r>
              <w:rPr>
                <w:rFonts w:hint="eastAsia" w:ascii="仿宋" w:hAnsi="仿宋" w:eastAsia="仿宋" w:cs="仿宋"/>
                <w:color w:val="auto"/>
                <w:kern w:val="2"/>
                <w:szCs w:val="20"/>
                <w:highlight w:val="none"/>
              </w:rPr>
              <w:t>日</w:t>
            </w:r>
          </w:p>
        </w:tc>
        <w:tc>
          <w:tcPr>
            <w:tcW w:w="4635" w:type="dxa"/>
            <w:gridSpan w:val="3"/>
            <w:tcBorders>
              <w:top w:val="single" w:color="auto" w:sz="12" w:space="0"/>
              <w:bottom w:val="single" w:color="auto" w:sz="4" w:space="0"/>
            </w:tcBorders>
          </w:tcPr>
          <w:p>
            <w:pPr>
              <w:spacing w:after="0" w:line="240" w:lineRule="auto"/>
              <w:jc w:val="left"/>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rPr>
              <w:t>乙方（受让方）签章</w:t>
            </w:r>
          </w:p>
          <w:p>
            <w:pPr>
              <w:spacing w:after="0" w:line="240" w:lineRule="auto"/>
              <w:jc w:val="left"/>
              <w:rPr>
                <w:rFonts w:hint="eastAsia" w:ascii="仿宋" w:hAnsi="仿宋" w:eastAsia="仿宋" w:cs="仿宋"/>
                <w:color w:val="auto"/>
                <w:kern w:val="2"/>
                <w:szCs w:val="20"/>
                <w:highlight w:val="none"/>
              </w:rPr>
            </w:pPr>
          </w:p>
          <w:p>
            <w:pPr>
              <w:spacing w:after="0" w:line="240" w:lineRule="auto"/>
              <w:jc w:val="left"/>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rPr>
              <w:t>法定代表人/负责人</w:t>
            </w:r>
          </w:p>
          <w:p>
            <w:pPr>
              <w:spacing w:after="0" w:line="240" w:lineRule="auto"/>
              <w:jc w:val="left"/>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rPr>
              <w:t>（或授权代理人）</w:t>
            </w:r>
          </w:p>
          <w:p>
            <w:pPr>
              <w:spacing w:after="0" w:line="240" w:lineRule="auto"/>
              <w:jc w:val="right"/>
              <w:rPr>
                <w:rFonts w:hint="eastAsia" w:ascii="仿宋" w:hAnsi="仿宋" w:eastAsia="仿宋" w:cs="仿宋"/>
                <w:color w:val="auto"/>
                <w:kern w:val="2"/>
                <w:szCs w:val="20"/>
                <w:highlight w:val="none"/>
              </w:rPr>
            </w:pPr>
            <w:r>
              <w:rPr>
                <w:rFonts w:hint="eastAsia" w:ascii="仿宋" w:hAnsi="仿宋" w:eastAsia="仿宋" w:cs="仿宋"/>
                <w:color w:val="auto"/>
                <w:kern w:val="2"/>
                <w:szCs w:val="20"/>
                <w:highlight w:val="none"/>
              </w:rPr>
              <w:t>年</w:t>
            </w:r>
            <w:r>
              <w:rPr>
                <w:rFonts w:hint="eastAsia" w:ascii="仿宋" w:hAnsi="仿宋" w:eastAsia="仿宋" w:cs="仿宋"/>
                <w:color w:val="auto"/>
                <w:kern w:val="2"/>
                <w:szCs w:val="20"/>
                <w:highlight w:val="none"/>
                <w:lang w:val="en-US" w:eastAsia="zh-CN"/>
              </w:rPr>
              <w:t xml:space="preserve">  </w:t>
            </w:r>
            <w:r>
              <w:rPr>
                <w:rFonts w:hint="eastAsia" w:ascii="仿宋" w:hAnsi="仿宋" w:eastAsia="仿宋" w:cs="仿宋"/>
                <w:color w:val="auto"/>
                <w:kern w:val="2"/>
                <w:szCs w:val="20"/>
                <w:highlight w:val="none"/>
              </w:rPr>
              <w:t>月</w:t>
            </w:r>
            <w:r>
              <w:rPr>
                <w:rFonts w:hint="eastAsia" w:ascii="仿宋" w:hAnsi="仿宋" w:eastAsia="仿宋" w:cs="仿宋"/>
                <w:color w:val="auto"/>
                <w:kern w:val="2"/>
                <w:szCs w:val="20"/>
                <w:highlight w:val="none"/>
                <w:lang w:val="en-US" w:eastAsia="zh-CN"/>
              </w:rPr>
              <w:t xml:space="preserve">  </w:t>
            </w:r>
            <w:r>
              <w:rPr>
                <w:rFonts w:hint="eastAsia" w:ascii="仿宋" w:hAnsi="仿宋" w:eastAsia="仿宋" w:cs="仿宋"/>
                <w:color w:val="auto"/>
                <w:kern w:val="2"/>
                <w:szCs w:val="20"/>
                <w:highlight w:val="none"/>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198" w:type="dxa"/>
            <w:gridSpan w:val="6"/>
            <w:tcBorders>
              <w:top w:val="single" w:color="auto" w:sz="4" w:space="0"/>
            </w:tcBorders>
          </w:tcPr>
          <w:p>
            <w:pPr>
              <w:spacing w:after="0" w:line="240" w:lineRule="auto"/>
              <w:jc w:val="left"/>
              <w:rPr>
                <w:rFonts w:hint="eastAsia" w:ascii="仿宋" w:hAnsi="仿宋" w:eastAsia="仿宋" w:cs="仿宋"/>
                <w:color w:val="auto"/>
                <w:kern w:val="2"/>
                <w:szCs w:val="20"/>
                <w:highlight w:val="none"/>
                <w:u w:val="single"/>
              </w:rPr>
            </w:pPr>
            <w:r>
              <w:rPr>
                <w:rFonts w:hint="eastAsia" w:ascii="仿宋" w:hAnsi="仿宋" w:eastAsia="仿宋" w:cs="仿宋"/>
                <w:color w:val="auto"/>
                <w:spacing w:val="2"/>
                <w:kern w:val="2"/>
                <w:szCs w:val="18"/>
                <w:highlight w:val="none"/>
              </w:rPr>
              <w:t>本明细表经核实无误，作为编号《不良资产批量转让协议》的组成部分。明细表一式份，双方当事人各执份。</w:t>
            </w:r>
          </w:p>
        </w:tc>
      </w:tr>
      <w:bookmarkEnd w:id="320"/>
    </w:tbl>
    <w:p>
      <w:pPr>
        <w:rPr>
          <w:rFonts w:ascii="仿宋_GB2312" w:hAnsi="宋体" w:eastAsia="仿宋_GB2312"/>
          <w:color w:val="auto"/>
          <w:sz w:val="20"/>
          <w:highlight w:val="none"/>
        </w:rPr>
        <w:sectPr>
          <w:pgSz w:w="11906" w:h="16838"/>
          <w:pgMar w:top="1440" w:right="1797" w:bottom="1440" w:left="1797" w:header="851" w:footer="992" w:gutter="0"/>
          <w:cols w:space="720" w:num="1"/>
          <w:docGrid w:type="linesAndChars" w:linePitch="312" w:charSpace="0"/>
        </w:sectPr>
      </w:pPr>
    </w:p>
    <w:p>
      <w:pPr>
        <w:spacing w:line="360" w:lineRule="auto"/>
        <w:rPr>
          <w:rFonts w:hint="eastAsia" w:eastAsia="宋体"/>
          <w:lang w:val="en-US" w:eastAsia="zh-CN"/>
        </w:rPr>
      </w:pPr>
    </w:p>
    <w:sectPr>
      <w:footerReference r:id="rId4" w:type="default"/>
      <w:pgSz w:w="16838" w:h="11906" w:orient="landscape"/>
      <w:pgMar w:top="1440" w:right="1077" w:bottom="1440" w:left="1077" w:header="851" w:footer="99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swiss"/>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宋体" w:cs="Times New Roman"/>
        <w:kern w:val="2"/>
        <w:sz w:val="21"/>
        <w:szCs w:val="20"/>
        <w:lang w:val="en-US" w:eastAsia="zh-CN" w:bidi="ar-SA"/>
      </w:rPr>
      <w:id w:val="6784463"/>
      <w:docPartObj>
        <w:docPartGallery w:val="autotext"/>
      </w:docPartObj>
    </w:sdtPr>
    <w:sdtEndPr>
      <w:rPr>
        <w:rFonts w:ascii="Calibri" w:hAnsi="Calibri" w:eastAsia="宋体" w:cs="Arial"/>
        <w:kern w:val="0"/>
        <w:sz w:val="22"/>
        <w:szCs w:val="22"/>
        <w:lang w:val="en-NZ" w:eastAsia="zh-CN" w:bidi="ar-SA"/>
      </w:rPr>
    </w:sdtEndPr>
    <w:sdtContent>
      <w:sdt>
        <w:sdtPr>
          <w:rPr>
            <w:rFonts w:ascii="Times New Roman" w:hAnsi="Times New Roman" w:eastAsia="宋体" w:cs="Times New Roman"/>
            <w:kern w:val="2"/>
            <w:sz w:val="21"/>
            <w:szCs w:val="20"/>
            <w:lang w:val="en-US" w:eastAsia="zh-CN" w:bidi="ar-SA"/>
          </w:rPr>
          <w:id w:val="171357217"/>
          <w:docPartObj>
            <w:docPartGallery w:val="autotext"/>
          </w:docPartObj>
        </w:sdtPr>
        <w:sdtEndPr>
          <w:rPr>
            <w:rFonts w:ascii="Calibri" w:hAnsi="Calibri" w:eastAsia="宋体" w:cs="Arial"/>
            <w:kern w:val="0"/>
            <w:sz w:val="22"/>
            <w:szCs w:val="22"/>
            <w:lang w:val="en-NZ" w:eastAsia="zh-CN" w:bidi="ar-SA"/>
          </w:rPr>
        </w:sdtEndPr>
        <w:sdtContent>
          <w:p>
            <w:pPr>
              <w:widowControl/>
              <w:tabs>
                <w:tab w:val="center" w:pos="4153"/>
                <w:tab w:val="right" w:pos="8306"/>
              </w:tabs>
              <w:spacing w:after="0" w:line="240" w:lineRule="auto"/>
              <w:jc w:val="center"/>
              <w:rPr>
                <w:rFonts w:ascii="Calibri" w:hAnsi="Calibri" w:eastAsia="宋体" w:cs="Arial"/>
                <w:kern w:val="0"/>
                <w:sz w:val="22"/>
                <w:szCs w:val="22"/>
                <w:lang w:val="en-NZ" w:eastAsia="zh-CN" w:bidi="ar-SA"/>
              </w:rPr>
            </w:pPr>
            <w:r>
              <w:rPr>
                <w:rFonts w:ascii="Calibri" w:hAnsi="Calibri" w:eastAsia="宋体" w:cs="Arial"/>
                <w:kern w:val="0"/>
                <w:sz w:val="22"/>
                <w:szCs w:val="22"/>
                <w:lang w:val="zh-CN" w:eastAsia="zh-CN" w:bidi="ar-SA"/>
              </w:rPr>
              <w:t xml:space="preserve"> </w:t>
            </w:r>
            <w:r>
              <w:rPr>
                <w:rFonts w:ascii="Calibri" w:hAnsi="Calibri" w:eastAsia="宋体" w:cs="Arial"/>
                <w:b/>
                <w:kern w:val="0"/>
                <w:sz w:val="24"/>
                <w:szCs w:val="24"/>
                <w:lang w:val="en-NZ" w:eastAsia="zh-CN" w:bidi="ar-SA"/>
              </w:rPr>
              <w:fldChar w:fldCharType="begin"/>
            </w:r>
            <w:r>
              <w:rPr>
                <w:rFonts w:ascii="Calibri" w:hAnsi="Calibri" w:eastAsia="宋体" w:cs="Arial"/>
                <w:b/>
                <w:kern w:val="0"/>
                <w:sz w:val="22"/>
                <w:szCs w:val="22"/>
                <w:lang w:val="en-NZ" w:eastAsia="zh-CN" w:bidi="ar-SA"/>
              </w:rPr>
              <w:instrText xml:space="preserve">PAGE</w:instrText>
            </w:r>
            <w:r>
              <w:rPr>
                <w:rFonts w:ascii="Calibri" w:hAnsi="Calibri" w:eastAsia="宋体" w:cs="Arial"/>
                <w:b/>
                <w:kern w:val="0"/>
                <w:sz w:val="24"/>
                <w:szCs w:val="24"/>
                <w:lang w:val="en-NZ" w:eastAsia="zh-CN" w:bidi="ar-SA"/>
              </w:rPr>
              <w:fldChar w:fldCharType="separate"/>
            </w:r>
            <w:r>
              <w:rPr>
                <w:rFonts w:ascii="Calibri" w:hAnsi="Calibri" w:eastAsia="宋体" w:cs="Arial"/>
                <w:b/>
                <w:kern w:val="0"/>
                <w:sz w:val="22"/>
                <w:szCs w:val="22"/>
                <w:lang w:val="en-NZ" w:eastAsia="zh-CN" w:bidi="ar-SA"/>
              </w:rPr>
              <w:t>17</w:t>
            </w:r>
            <w:r>
              <w:rPr>
                <w:rFonts w:ascii="Calibri" w:hAnsi="Calibri" w:eastAsia="宋体" w:cs="Arial"/>
                <w:b/>
                <w:kern w:val="0"/>
                <w:sz w:val="24"/>
                <w:szCs w:val="24"/>
                <w:lang w:val="en-NZ" w:eastAsia="zh-CN" w:bidi="ar-SA"/>
              </w:rPr>
              <w:fldChar w:fldCharType="end"/>
            </w:r>
            <w:r>
              <w:rPr>
                <w:rFonts w:ascii="Calibri" w:hAnsi="Calibri" w:eastAsia="宋体" w:cs="Arial"/>
                <w:kern w:val="0"/>
                <w:sz w:val="22"/>
                <w:szCs w:val="22"/>
                <w:lang w:val="zh-CN" w:eastAsia="zh-CN" w:bidi="ar-SA"/>
              </w:rPr>
              <w:t xml:space="preserve"> / </w:t>
            </w:r>
            <w:r>
              <w:rPr>
                <w:rFonts w:ascii="Calibri" w:hAnsi="Calibri" w:eastAsia="宋体" w:cs="Arial"/>
                <w:b/>
                <w:kern w:val="0"/>
                <w:sz w:val="24"/>
                <w:szCs w:val="24"/>
                <w:lang w:val="en-NZ" w:eastAsia="zh-CN" w:bidi="ar-SA"/>
              </w:rPr>
              <w:fldChar w:fldCharType="begin"/>
            </w:r>
            <w:r>
              <w:rPr>
                <w:rFonts w:ascii="Calibri" w:hAnsi="Calibri" w:eastAsia="宋体" w:cs="Arial"/>
                <w:b/>
                <w:kern w:val="0"/>
                <w:sz w:val="22"/>
                <w:szCs w:val="22"/>
                <w:lang w:val="en-NZ" w:eastAsia="zh-CN" w:bidi="ar-SA"/>
              </w:rPr>
              <w:instrText xml:space="preserve">NUMPAGES</w:instrText>
            </w:r>
            <w:r>
              <w:rPr>
                <w:rFonts w:ascii="Calibri" w:hAnsi="Calibri" w:eastAsia="宋体" w:cs="Arial"/>
                <w:b/>
                <w:kern w:val="0"/>
                <w:sz w:val="24"/>
                <w:szCs w:val="24"/>
                <w:lang w:val="en-NZ" w:eastAsia="zh-CN" w:bidi="ar-SA"/>
              </w:rPr>
              <w:fldChar w:fldCharType="separate"/>
            </w:r>
            <w:r>
              <w:rPr>
                <w:rFonts w:ascii="Calibri" w:hAnsi="Calibri" w:eastAsia="宋体" w:cs="Arial"/>
                <w:b/>
                <w:kern w:val="0"/>
                <w:sz w:val="22"/>
                <w:szCs w:val="22"/>
                <w:lang w:val="en-NZ" w:eastAsia="zh-CN" w:bidi="ar-SA"/>
              </w:rPr>
              <w:t>17</w:t>
            </w:r>
            <w:r>
              <w:rPr>
                <w:rFonts w:ascii="Calibri" w:hAnsi="Calibri" w:eastAsia="宋体" w:cs="Arial"/>
                <w:b/>
                <w:kern w:val="0"/>
                <w:sz w:val="24"/>
                <w:szCs w:val="24"/>
                <w:lang w:val="en-NZ" w:eastAsia="zh-CN" w:bidi="ar-SA"/>
              </w:rPr>
              <w:fldChar w:fldCharType="end"/>
            </w:r>
          </w:p>
        </w:sdtContent>
      </w:sdt>
    </w:sdtContent>
  </w:sdt>
  <w:p>
    <w:pPr>
      <w:widowControl/>
      <w:tabs>
        <w:tab w:val="center" w:pos="4153"/>
        <w:tab w:val="right" w:pos="8306"/>
      </w:tabs>
      <w:spacing w:after="0" w:line="240" w:lineRule="auto"/>
      <w:jc w:val="left"/>
      <w:rPr>
        <w:rFonts w:ascii="Calibri" w:hAnsi="Calibri" w:eastAsia="宋体" w:cs="Arial"/>
        <w:kern w:val="0"/>
        <w:sz w:val="22"/>
        <w:szCs w:val="22"/>
        <w:lang w:val="en-NZ"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22</w:t>
    </w:r>
    <w:r>
      <w:fldChar w:fldCharType="end"/>
    </w:r>
    <w:r>
      <w:t>/2</w:t>
    </w:r>
    <w:r>
      <w:rPr>
        <w:rFonts w:hint="eastAsia"/>
      </w:rPr>
      <w:t>1</w:t>
    </w:r>
  </w:p>
  <w:p>
    <w:pPr>
      <w:pStyle w:val="2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1335C6"/>
    <w:multiLevelType w:val="multilevel"/>
    <w:tmpl w:val="111335C6"/>
    <w:lvl w:ilvl="0" w:tentative="0">
      <w:start w:val="1"/>
      <w:numFmt w:val="decimal"/>
      <w:lvlText w:val="%1."/>
      <w:lvlJc w:val="left"/>
      <w:pPr>
        <w:tabs>
          <w:tab w:val="left" w:pos="360"/>
        </w:tabs>
        <w:ind w:left="360" w:hanging="360"/>
      </w:pPr>
      <w:rPr>
        <w:b/>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b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54237D5"/>
    <w:multiLevelType w:val="multilevel"/>
    <w:tmpl w:val="154237D5"/>
    <w:lvl w:ilvl="0" w:tentative="0">
      <w:start w:val="1"/>
      <w:numFmt w:val="decimal"/>
      <w:lvlText w:val="%1"/>
      <w:lvlJc w:val="left"/>
      <w:pPr>
        <w:tabs>
          <w:tab w:val="left" w:pos="425"/>
        </w:tabs>
        <w:ind w:left="425" w:hanging="425"/>
      </w:pPr>
      <w:rPr>
        <w:b/>
      </w:rPr>
    </w:lvl>
    <w:lvl w:ilvl="1" w:tentative="0">
      <w:start w:val="1"/>
      <w:numFmt w:val="decimal"/>
      <w:lvlText w:val="%1.%2"/>
      <w:lvlJc w:val="left"/>
      <w:pPr>
        <w:tabs>
          <w:tab w:val="left" w:pos="992"/>
        </w:tabs>
        <w:ind w:left="992" w:hanging="567"/>
      </w:pPr>
      <w:rPr>
        <w:b/>
        <w:color w:val="auto"/>
      </w:rPr>
    </w:lvl>
    <w:lvl w:ilvl="2" w:tentative="0">
      <w:start w:val="1"/>
      <w:numFmt w:val="decimal"/>
      <w:lvlText w:val="2.4.%3"/>
      <w:lvlJc w:val="left"/>
      <w:pPr>
        <w:tabs>
          <w:tab w:val="left" w:pos="1418"/>
        </w:tabs>
        <w:ind w:left="1418" w:hanging="567"/>
      </w:pPr>
      <w:rPr>
        <w:b w:val="0"/>
      </w:rPr>
    </w:lvl>
    <w:lvl w:ilvl="3" w:tentative="0">
      <w:start w:val="1"/>
      <w:numFmt w:val="decimal"/>
      <w:lvlText w:val="%1.%2.%3.%4"/>
      <w:lvlJc w:val="left"/>
      <w:pPr>
        <w:tabs>
          <w:tab w:val="left" w:pos="2410"/>
        </w:tabs>
        <w:ind w:left="2410" w:hanging="708"/>
      </w:pPr>
      <w:rPr>
        <w:b/>
      </w:r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5"/>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3EA74F5F"/>
    <w:multiLevelType w:val="multilevel"/>
    <w:tmpl w:val="3EA74F5F"/>
    <w:lvl w:ilvl="0" w:tentative="0">
      <w:start w:val="1"/>
      <w:numFmt w:val="decimal"/>
      <w:lvlText w:val="（%1）"/>
      <w:lvlJc w:val="left"/>
      <w:pPr>
        <w:ind w:left="1570" w:hanging="720"/>
      </w:p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3">
    <w:nsid w:val="47E67AB7"/>
    <w:multiLevelType w:val="multilevel"/>
    <w:tmpl w:val="47E67AB7"/>
    <w:lvl w:ilvl="0" w:tentative="0">
      <w:start w:val="1"/>
      <w:numFmt w:val="decimal"/>
      <w:lvlText w:val="%1."/>
      <w:lvlJc w:val="left"/>
      <w:pPr>
        <w:tabs>
          <w:tab w:val="left" w:pos="360"/>
        </w:tabs>
        <w:ind w:left="360" w:hanging="360"/>
      </w:pPr>
      <w:rPr>
        <w:b/>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b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wM2FlYmQwOWNiYWI3ZDQ1NzQyMzEwYTU5MDc3NzgifQ=="/>
  </w:docVars>
  <w:rsids>
    <w:rsidRoot w:val="00323790"/>
    <w:rsid w:val="000672FF"/>
    <w:rsid w:val="00076407"/>
    <w:rsid w:val="00105D53"/>
    <w:rsid w:val="00117355"/>
    <w:rsid w:val="00160C25"/>
    <w:rsid w:val="001E7415"/>
    <w:rsid w:val="00227E52"/>
    <w:rsid w:val="002E0781"/>
    <w:rsid w:val="0031156A"/>
    <w:rsid w:val="00323790"/>
    <w:rsid w:val="00360E8E"/>
    <w:rsid w:val="003C27D1"/>
    <w:rsid w:val="004C3810"/>
    <w:rsid w:val="004D1633"/>
    <w:rsid w:val="004F6469"/>
    <w:rsid w:val="00540301"/>
    <w:rsid w:val="0063477D"/>
    <w:rsid w:val="00652917"/>
    <w:rsid w:val="0073492C"/>
    <w:rsid w:val="007E2F54"/>
    <w:rsid w:val="008639B1"/>
    <w:rsid w:val="00866399"/>
    <w:rsid w:val="008A5729"/>
    <w:rsid w:val="00942B83"/>
    <w:rsid w:val="00952881"/>
    <w:rsid w:val="0097482B"/>
    <w:rsid w:val="009A53A2"/>
    <w:rsid w:val="009B655A"/>
    <w:rsid w:val="00A105AD"/>
    <w:rsid w:val="00A84132"/>
    <w:rsid w:val="00AE4F9F"/>
    <w:rsid w:val="00B04AE4"/>
    <w:rsid w:val="00B55B10"/>
    <w:rsid w:val="00BD7222"/>
    <w:rsid w:val="00BE27D6"/>
    <w:rsid w:val="00C00434"/>
    <w:rsid w:val="00C22AB3"/>
    <w:rsid w:val="00C25D3B"/>
    <w:rsid w:val="00C64171"/>
    <w:rsid w:val="00C75684"/>
    <w:rsid w:val="00CD0897"/>
    <w:rsid w:val="00D662C6"/>
    <w:rsid w:val="00DF0303"/>
    <w:rsid w:val="00E0559B"/>
    <w:rsid w:val="00E728BB"/>
    <w:rsid w:val="00E82F05"/>
    <w:rsid w:val="00F648B3"/>
    <w:rsid w:val="00FB2B00"/>
    <w:rsid w:val="00FC757C"/>
    <w:rsid w:val="0C120997"/>
    <w:rsid w:val="140E5EE8"/>
    <w:rsid w:val="142179C9"/>
    <w:rsid w:val="33055644"/>
    <w:rsid w:val="37B91BF9"/>
    <w:rsid w:val="399D3985"/>
    <w:rsid w:val="40337A31"/>
    <w:rsid w:val="4423401D"/>
    <w:rsid w:val="45EF60FE"/>
    <w:rsid w:val="52391DA6"/>
    <w:rsid w:val="58242BB1"/>
    <w:rsid w:val="60AC5E39"/>
    <w:rsid w:val="6F96218E"/>
    <w:rsid w:val="7A4146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nhideWhenUsed="0" w:uiPriority="0" w:semiHidden="0" w:name="annotation text"/>
    <w:lsdException w:qFormat="1" w:uiPriority="0"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4"/>
      <w:lang w:val="en-US" w:eastAsia="zh-CN" w:bidi="ar-SA"/>
    </w:rPr>
  </w:style>
  <w:style w:type="paragraph" w:styleId="2">
    <w:name w:val="heading 1"/>
    <w:basedOn w:val="1"/>
    <w:next w:val="1"/>
    <w:link w:val="41"/>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42"/>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43"/>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44"/>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0"/>
    <w:semiHidden/>
    <w:unhideWhenUsed/>
    <w:qFormat/>
    <w:uiPriority w:val="0"/>
    <w:pPr>
      <w:spacing w:before="50"/>
      <w:ind w:firstLine="200"/>
      <w:outlineLvl w:val="4"/>
    </w:pPr>
    <w:rPr>
      <w:rFonts w:ascii="Times New Roman" w:hAnsi="Times New Roman" w:eastAsia="仿宋"/>
      <w:b/>
      <w:sz w:val="28"/>
    </w:rPr>
  </w:style>
  <w:style w:type="paragraph" w:styleId="7">
    <w:name w:val="heading 6"/>
    <w:basedOn w:val="1"/>
    <w:next w:val="1"/>
    <w:link w:val="46"/>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7"/>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8"/>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9"/>
    <w:unhideWhenUsed/>
    <w:qFormat/>
    <w:uiPriority w:val="9"/>
    <w:pPr>
      <w:keepNext/>
      <w:keepLines/>
      <w:spacing w:before="320" w:after="200"/>
      <w:outlineLvl w:val="8"/>
    </w:pPr>
    <w:rPr>
      <w:rFonts w:ascii="Arial" w:hAnsi="Arial" w:eastAsia="Arial" w:cs="Arial"/>
      <w:i/>
      <w:iCs/>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pPr>
  </w:style>
  <w:style w:type="paragraph" w:styleId="12">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3">
    <w:name w:val="annotation text"/>
    <w:basedOn w:val="1"/>
    <w:link w:val="190"/>
    <w:qFormat/>
    <w:uiPriority w:val="0"/>
    <w:pPr>
      <w:jc w:val="left"/>
    </w:pPr>
  </w:style>
  <w:style w:type="paragraph" w:styleId="14">
    <w:name w:val="toc 5"/>
    <w:basedOn w:val="1"/>
    <w:next w:val="1"/>
    <w:unhideWhenUsed/>
    <w:qFormat/>
    <w:uiPriority w:val="39"/>
    <w:pPr>
      <w:spacing w:after="57"/>
      <w:ind w:left="1134"/>
    </w:pPr>
  </w:style>
  <w:style w:type="paragraph" w:styleId="15">
    <w:name w:val="toc 3"/>
    <w:basedOn w:val="1"/>
    <w:next w:val="1"/>
    <w:unhideWhenUsed/>
    <w:qFormat/>
    <w:uiPriority w:val="39"/>
    <w:pPr>
      <w:spacing w:after="57"/>
      <w:ind w:left="567"/>
    </w:pPr>
  </w:style>
  <w:style w:type="paragraph" w:styleId="16">
    <w:name w:val="toc 8"/>
    <w:basedOn w:val="1"/>
    <w:next w:val="1"/>
    <w:unhideWhenUsed/>
    <w:qFormat/>
    <w:uiPriority w:val="39"/>
    <w:pPr>
      <w:spacing w:after="57"/>
      <w:ind w:left="1984"/>
    </w:pPr>
  </w:style>
  <w:style w:type="paragraph" w:styleId="17">
    <w:name w:val="Date"/>
    <w:basedOn w:val="1"/>
    <w:next w:val="1"/>
    <w:link w:val="195"/>
    <w:semiHidden/>
    <w:unhideWhenUsed/>
    <w:qFormat/>
    <w:uiPriority w:val="99"/>
    <w:pPr>
      <w:ind w:left="100" w:leftChars="2500"/>
    </w:pPr>
  </w:style>
  <w:style w:type="paragraph" w:styleId="18">
    <w:name w:val="endnote text"/>
    <w:basedOn w:val="1"/>
    <w:link w:val="186"/>
    <w:semiHidden/>
    <w:unhideWhenUsed/>
    <w:qFormat/>
    <w:uiPriority w:val="99"/>
    <w:rPr>
      <w:sz w:val="20"/>
    </w:rPr>
  </w:style>
  <w:style w:type="paragraph" w:styleId="19">
    <w:name w:val="Balloon Text"/>
    <w:basedOn w:val="1"/>
    <w:link w:val="188"/>
    <w:qFormat/>
    <w:uiPriority w:val="0"/>
    <w:rPr>
      <w:sz w:val="18"/>
      <w:szCs w:val="18"/>
    </w:rPr>
  </w:style>
  <w:style w:type="paragraph" w:styleId="20">
    <w:name w:val="footer"/>
    <w:basedOn w:val="1"/>
    <w:link w:val="59"/>
    <w:qFormat/>
    <w:uiPriority w:val="99"/>
    <w:pPr>
      <w:tabs>
        <w:tab w:val="center" w:pos="4153"/>
        <w:tab w:val="right" w:pos="8306"/>
      </w:tabs>
      <w:jc w:val="left"/>
    </w:pPr>
    <w:rPr>
      <w:sz w:val="18"/>
    </w:rPr>
  </w:style>
  <w:style w:type="paragraph" w:styleId="21">
    <w:name w:val="header"/>
    <w:basedOn w:val="1"/>
    <w:link w:val="189"/>
    <w:unhideWhenUsed/>
    <w:qFormat/>
    <w:uiPriority w:val="0"/>
    <w:pPr>
      <w:tabs>
        <w:tab w:val="center" w:pos="4320"/>
        <w:tab w:val="right" w:pos="8640"/>
      </w:tabs>
    </w:pPr>
  </w:style>
  <w:style w:type="paragraph" w:styleId="22">
    <w:name w:val="toc 1"/>
    <w:basedOn w:val="1"/>
    <w:next w:val="1"/>
    <w:unhideWhenUsed/>
    <w:qFormat/>
    <w:uiPriority w:val="39"/>
    <w:pPr>
      <w:spacing w:after="57"/>
    </w:pPr>
  </w:style>
  <w:style w:type="paragraph" w:styleId="23">
    <w:name w:val="toc 4"/>
    <w:basedOn w:val="1"/>
    <w:next w:val="1"/>
    <w:unhideWhenUsed/>
    <w:qFormat/>
    <w:uiPriority w:val="39"/>
    <w:pPr>
      <w:spacing w:after="57"/>
      <w:ind w:left="850"/>
    </w:pPr>
  </w:style>
  <w:style w:type="paragraph" w:styleId="24">
    <w:name w:val="Subtitle"/>
    <w:basedOn w:val="1"/>
    <w:next w:val="1"/>
    <w:link w:val="52"/>
    <w:qFormat/>
    <w:uiPriority w:val="11"/>
    <w:pPr>
      <w:spacing w:before="200" w:after="200"/>
    </w:pPr>
    <w:rPr>
      <w:sz w:val="24"/>
    </w:rPr>
  </w:style>
  <w:style w:type="paragraph" w:styleId="25">
    <w:name w:val="footnote text"/>
    <w:basedOn w:val="1"/>
    <w:link w:val="185"/>
    <w:semiHidden/>
    <w:unhideWhenUsed/>
    <w:qFormat/>
    <w:uiPriority w:val="99"/>
    <w:pPr>
      <w:spacing w:after="40"/>
    </w:pPr>
    <w:rPr>
      <w:sz w:val="18"/>
    </w:rPr>
  </w:style>
  <w:style w:type="paragraph" w:styleId="26">
    <w:name w:val="toc 6"/>
    <w:basedOn w:val="1"/>
    <w:next w:val="1"/>
    <w:unhideWhenUsed/>
    <w:qFormat/>
    <w:uiPriority w:val="39"/>
    <w:pPr>
      <w:spacing w:after="57"/>
      <w:ind w:left="1417"/>
    </w:pPr>
  </w:style>
  <w:style w:type="paragraph" w:styleId="27">
    <w:name w:val="table of figures"/>
    <w:basedOn w:val="1"/>
    <w:next w:val="1"/>
    <w:unhideWhenUsed/>
    <w:qFormat/>
    <w:uiPriority w:val="99"/>
  </w:style>
  <w:style w:type="paragraph" w:styleId="28">
    <w:name w:val="toc 2"/>
    <w:basedOn w:val="1"/>
    <w:next w:val="1"/>
    <w:unhideWhenUsed/>
    <w:qFormat/>
    <w:uiPriority w:val="39"/>
    <w:pPr>
      <w:spacing w:after="57"/>
      <w:ind w:left="283"/>
    </w:pPr>
  </w:style>
  <w:style w:type="paragraph" w:styleId="29">
    <w:name w:val="toc 9"/>
    <w:basedOn w:val="1"/>
    <w:next w:val="1"/>
    <w:unhideWhenUsed/>
    <w:qFormat/>
    <w:uiPriority w:val="39"/>
    <w:pPr>
      <w:spacing w:after="57"/>
      <w:ind w:left="2268"/>
    </w:pPr>
  </w:style>
  <w:style w:type="paragraph" w:styleId="30">
    <w:name w:val="Normal (Web)"/>
    <w:basedOn w:val="1"/>
    <w:qFormat/>
    <w:uiPriority w:val="0"/>
    <w:pPr>
      <w:spacing w:beforeAutospacing="1" w:afterAutospacing="1"/>
      <w:jc w:val="left"/>
    </w:pPr>
    <w:rPr>
      <w:sz w:val="24"/>
    </w:rPr>
  </w:style>
  <w:style w:type="paragraph" w:styleId="31">
    <w:name w:val="Title"/>
    <w:basedOn w:val="1"/>
    <w:next w:val="1"/>
    <w:link w:val="51"/>
    <w:qFormat/>
    <w:uiPriority w:val="10"/>
    <w:pPr>
      <w:spacing w:before="300" w:after="200"/>
      <w:contextualSpacing/>
    </w:pPr>
    <w:rPr>
      <w:sz w:val="48"/>
      <w:szCs w:val="48"/>
    </w:rPr>
  </w:style>
  <w:style w:type="paragraph" w:styleId="32">
    <w:name w:val="annotation subject"/>
    <w:basedOn w:val="13"/>
    <w:next w:val="13"/>
    <w:link w:val="192"/>
    <w:semiHidden/>
    <w:unhideWhenUsed/>
    <w:qFormat/>
    <w:uiPriority w:val="0"/>
    <w:pPr>
      <w:jc w:val="both"/>
    </w:pPr>
    <w:rPr>
      <w:b/>
      <w:bCs/>
      <w:sz w:val="20"/>
      <w:szCs w:val="20"/>
    </w:rPr>
  </w:style>
  <w:style w:type="table" w:styleId="34">
    <w:name w:val="Table Grid"/>
    <w:basedOn w:val="3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endnote reference"/>
    <w:basedOn w:val="35"/>
    <w:semiHidden/>
    <w:unhideWhenUsed/>
    <w:qFormat/>
    <w:uiPriority w:val="99"/>
    <w:rPr>
      <w:vertAlign w:val="superscript"/>
    </w:rPr>
  </w:style>
  <w:style w:type="character" w:styleId="37">
    <w:name w:val="Hyperlink"/>
    <w:unhideWhenUsed/>
    <w:qFormat/>
    <w:uiPriority w:val="99"/>
    <w:rPr>
      <w:color w:val="0563C1" w:themeColor="hyperlink"/>
      <w:u w:val="single"/>
      <w14:textFill>
        <w14:solidFill>
          <w14:schemeClr w14:val="hlink"/>
        </w14:solidFill>
      </w14:textFill>
    </w:rPr>
  </w:style>
  <w:style w:type="character" w:styleId="38">
    <w:name w:val="annotation reference"/>
    <w:qFormat/>
    <w:uiPriority w:val="0"/>
    <w:rPr>
      <w:sz w:val="21"/>
      <w:szCs w:val="21"/>
    </w:rPr>
  </w:style>
  <w:style w:type="character" w:styleId="39">
    <w:name w:val="footnote reference"/>
    <w:basedOn w:val="35"/>
    <w:unhideWhenUsed/>
    <w:qFormat/>
    <w:uiPriority w:val="99"/>
    <w:rPr>
      <w:vertAlign w:val="superscript"/>
    </w:rPr>
  </w:style>
  <w:style w:type="character" w:customStyle="1" w:styleId="40">
    <w:name w:val="标题 5 Char"/>
    <w:link w:val="6"/>
    <w:qFormat/>
    <w:uiPriority w:val="99"/>
    <w:rPr>
      <w:rFonts w:ascii="Times New Roman" w:hAnsi="Times New Roman" w:eastAsia="仿宋"/>
      <w:b/>
      <w:sz w:val="28"/>
      <w:szCs w:val="24"/>
    </w:rPr>
  </w:style>
  <w:style w:type="character" w:customStyle="1" w:styleId="41">
    <w:name w:val="标题 1 Char"/>
    <w:basedOn w:val="35"/>
    <w:link w:val="2"/>
    <w:qFormat/>
    <w:uiPriority w:val="9"/>
    <w:rPr>
      <w:rFonts w:ascii="Arial" w:hAnsi="Arial" w:eastAsia="Arial" w:cs="Arial"/>
      <w:sz w:val="40"/>
      <w:szCs w:val="40"/>
    </w:rPr>
  </w:style>
  <w:style w:type="character" w:customStyle="1" w:styleId="42">
    <w:name w:val="标题 2 Char"/>
    <w:basedOn w:val="35"/>
    <w:link w:val="3"/>
    <w:qFormat/>
    <w:uiPriority w:val="9"/>
    <w:rPr>
      <w:rFonts w:ascii="Arial" w:hAnsi="Arial" w:eastAsia="Arial" w:cs="Arial"/>
      <w:sz w:val="34"/>
    </w:rPr>
  </w:style>
  <w:style w:type="character" w:customStyle="1" w:styleId="43">
    <w:name w:val="标题 3 Char"/>
    <w:basedOn w:val="35"/>
    <w:link w:val="4"/>
    <w:qFormat/>
    <w:uiPriority w:val="9"/>
    <w:rPr>
      <w:rFonts w:ascii="Arial" w:hAnsi="Arial" w:eastAsia="Arial" w:cs="Arial"/>
      <w:sz w:val="30"/>
      <w:szCs w:val="30"/>
    </w:rPr>
  </w:style>
  <w:style w:type="character" w:customStyle="1" w:styleId="44">
    <w:name w:val="标题 4 Char"/>
    <w:basedOn w:val="35"/>
    <w:link w:val="5"/>
    <w:qFormat/>
    <w:uiPriority w:val="9"/>
    <w:rPr>
      <w:rFonts w:ascii="Arial" w:hAnsi="Arial" w:eastAsia="Arial" w:cs="Arial"/>
      <w:b/>
      <w:bCs/>
      <w:sz w:val="26"/>
      <w:szCs w:val="26"/>
    </w:rPr>
  </w:style>
  <w:style w:type="character" w:customStyle="1" w:styleId="45">
    <w:name w:val="Heading 5 Char"/>
    <w:basedOn w:val="35"/>
    <w:qFormat/>
    <w:uiPriority w:val="9"/>
    <w:rPr>
      <w:rFonts w:ascii="Arial" w:hAnsi="Arial" w:eastAsia="Arial" w:cs="Arial"/>
      <w:b/>
      <w:bCs/>
      <w:sz w:val="24"/>
      <w:szCs w:val="24"/>
    </w:rPr>
  </w:style>
  <w:style w:type="character" w:customStyle="1" w:styleId="46">
    <w:name w:val="标题 6 Char"/>
    <w:basedOn w:val="35"/>
    <w:link w:val="7"/>
    <w:qFormat/>
    <w:uiPriority w:val="9"/>
    <w:rPr>
      <w:rFonts w:ascii="Arial" w:hAnsi="Arial" w:eastAsia="Arial" w:cs="Arial"/>
      <w:b/>
      <w:bCs/>
      <w:sz w:val="22"/>
      <w:szCs w:val="22"/>
    </w:rPr>
  </w:style>
  <w:style w:type="character" w:customStyle="1" w:styleId="47">
    <w:name w:val="标题 7 Char"/>
    <w:basedOn w:val="35"/>
    <w:link w:val="8"/>
    <w:qFormat/>
    <w:uiPriority w:val="9"/>
    <w:rPr>
      <w:rFonts w:ascii="Arial" w:hAnsi="Arial" w:eastAsia="Arial" w:cs="Arial"/>
      <w:b/>
      <w:bCs/>
      <w:i/>
      <w:iCs/>
      <w:sz w:val="22"/>
      <w:szCs w:val="22"/>
    </w:rPr>
  </w:style>
  <w:style w:type="character" w:customStyle="1" w:styleId="48">
    <w:name w:val="标题 8 Char"/>
    <w:basedOn w:val="35"/>
    <w:link w:val="9"/>
    <w:qFormat/>
    <w:uiPriority w:val="9"/>
    <w:rPr>
      <w:rFonts w:ascii="Arial" w:hAnsi="Arial" w:eastAsia="Arial" w:cs="Arial"/>
      <w:i/>
      <w:iCs/>
      <w:sz w:val="22"/>
      <w:szCs w:val="22"/>
    </w:rPr>
  </w:style>
  <w:style w:type="character" w:customStyle="1" w:styleId="49">
    <w:name w:val="标题 9 Char"/>
    <w:basedOn w:val="35"/>
    <w:link w:val="10"/>
    <w:qFormat/>
    <w:uiPriority w:val="9"/>
    <w:rPr>
      <w:rFonts w:ascii="Arial" w:hAnsi="Arial" w:eastAsia="Arial" w:cs="Arial"/>
      <w:i/>
      <w:iCs/>
      <w:sz w:val="21"/>
      <w:szCs w:val="21"/>
    </w:rPr>
  </w:style>
  <w:style w:type="paragraph" w:styleId="50">
    <w:name w:val="No Spacing"/>
    <w:qFormat/>
    <w:uiPriority w:val="1"/>
    <w:rPr>
      <w:rFonts w:ascii="Times New Roman" w:hAnsi="Times New Roman" w:eastAsia="宋体" w:cs="Times New Roman"/>
      <w:lang w:val="en-US" w:eastAsia="zh-CN" w:bidi="ar-SA"/>
    </w:rPr>
  </w:style>
  <w:style w:type="character" w:customStyle="1" w:styleId="51">
    <w:name w:val="标题 Char"/>
    <w:basedOn w:val="35"/>
    <w:link w:val="31"/>
    <w:qFormat/>
    <w:uiPriority w:val="10"/>
    <w:rPr>
      <w:sz w:val="48"/>
      <w:szCs w:val="48"/>
    </w:rPr>
  </w:style>
  <w:style w:type="character" w:customStyle="1" w:styleId="52">
    <w:name w:val="副标题 Char"/>
    <w:basedOn w:val="35"/>
    <w:link w:val="24"/>
    <w:qFormat/>
    <w:uiPriority w:val="11"/>
    <w:rPr>
      <w:sz w:val="24"/>
      <w:szCs w:val="24"/>
    </w:rPr>
  </w:style>
  <w:style w:type="paragraph" w:styleId="53">
    <w:name w:val="Quote"/>
    <w:basedOn w:val="1"/>
    <w:next w:val="1"/>
    <w:link w:val="54"/>
    <w:qFormat/>
    <w:uiPriority w:val="29"/>
    <w:pPr>
      <w:ind w:left="720" w:right="720"/>
    </w:pPr>
    <w:rPr>
      <w:i/>
    </w:rPr>
  </w:style>
  <w:style w:type="character" w:customStyle="1" w:styleId="54">
    <w:name w:val="引用 Char"/>
    <w:link w:val="53"/>
    <w:qFormat/>
    <w:uiPriority w:val="29"/>
    <w:rPr>
      <w:i/>
    </w:rPr>
  </w:style>
  <w:style w:type="paragraph" w:styleId="55">
    <w:name w:val="Intense Quote"/>
    <w:basedOn w:val="1"/>
    <w:next w:val="1"/>
    <w:link w:val="56"/>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6">
    <w:name w:val="明显引用 Char"/>
    <w:link w:val="55"/>
    <w:qFormat/>
    <w:uiPriority w:val="30"/>
    <w:rPr>
      <w:i/>
    </w:rPr>
  </w:style>
  <w:style w:type="character" w:customStyle="1" w:styleId="57">
    <w:name w:val="Header Char"/>
    <w:basedOn w:val="35"/>
    <w:qFormat/>
    <w:uiPriority w:val="99"/>
  </w:style>
  <w:style w:type="character" w:customStyle="1" w:styleId="58">
    <w:name w:val="Footer Char"/>
    <w:basedOn w:val="35"/>
    <w:qFormat/>
    <w:uiPriority w:val="99"/>
  </w:style>
  <w:style w:type="character" w:customStyle="1" w:styleId="59">
    <w:name w:val="页脚 Char"/>
    <w:link w:val="20"/>
    <w:qFormat/>
    <w:uiPriority w:val="99"/>
  </w:style>
  <w:style w:type="table" w:customStyle="1" w:styleId="60">
    <w:name w:val="Table Grid Light"/>
    <w:basedOn w:val="33"/>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61">
    <w:name w:val="Plain Table 1"/>
    <w:basedOn w:val="33"/>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2">
    <w:name w:val="Plain Table 2"/>
    <w:basedOn w:val="33"/>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3">
    <w:name w:val="Plain Table 3"/>
    <w:basedOn w:val="33"/>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4">
    <w:name w:val="Plain Table 4"/>
    <w:basedOn w:val="33"/>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5">
    <w:name w:val="Plain Table 5"/>
    <w:basedOn w:val="33"/>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6">
    <w:name w:val="Grid Table 1 Light"/>
    <w:basedOn w:val="33"/>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7">
    <w:name w:val="Grid Table 1 Light - Accent 1"/>
    <w:basedOn w:val="33"/>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68">
    <w:name w:val="Grid Table 1 Light - Accent 2"/>
    <w:basedOn w:val="33"/>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69">
    <w:name w:val="Grid Table 1 Light - Accent 3"/>
    <w:basedOn w:val="33"/>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70">
    <w:name w:val="Grid Table 1 Light - Accent 4"/>
    <w:basedOn w:val="33"/>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71">
    <w:name w:val="Grid Table 1 Light - Accent 5"/>
    <w:basedOn w:val="33"/>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72">
    <w:name w:val="Grid Table 1 Light - Accent 6"/>
    <w:basedOn w:val="33"/>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73">
    <w:name w:val="Grid Table 2"/>
    <w:basedOn w:val="33"/>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4">
    <w:name w:val="Grid Table 2 - Accent 1"/>
    <w:basedOn w:val="33"/>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75">
    <w:name w:val="Grid Table 2 - Accent 2"/>
    <w:basedOn w:val="33"/>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6">
    <w:name w:val="Grid Table 2 - Accent 3"/>
    <w:basedOn w:val="33"/>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7">
    <w:name w:val="Grid Table 2 - Accent 4"/>
    <w:basedOn w:val="33"/>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8">
    <w:name w:val="Grid Table 2 - Accent 5"/>
    <w:basedOn w:val="33"/>
    <w:qFormat/>
    <w:uiPriority w:val="99"/>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79">
    <w:name w:val="Grid Table 2 - Accent 6"/>
    <w:basedOn w:val="33"/>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0">
    <w:name w:val="Grid Table 3"/>
    <w:basedOn w:val="33"/>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1">
    <w:name w:val="Grid Table 3 - Accent 1"/>
    <w:basedOn w:val="33"/>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82">
    <w:name w:val="Grid Table 3 - Accent 2"/>
    <w:basedOn w:val="33"/>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3">
    <w:name w:val="Grid Table 3 - Accent 3"/>
    <w:basedOn w:val="33"/>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4">
    <w:name w:val="Grid Table 3 - Accent 4"/>
    <w:basedOn w:val="33"/>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5">
    <w:name w:val="Grid Table 3 - Accent 5"/>
    <w:basedOn w:val="33"/>
    <w:qFormat/>
    <w:uiPriority w:val="99"/>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86">
    <w:name w:val="Grid Table 3 - Accent 6"/>
    <w:basedOn w:val="33"/>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7">
    <w:name w:val="Grid Table 4"/>
    <w:basedOn w:val="33"/>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8">
    <w:name w:val="Grid Table 4 - Accent 1"/>
    <w:basedOn w:val="33"/>
    <w:qFormat/>
    <w:uiPriority w:val="5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89">
    <w:name w:val="Grid Table 4 - Accent 2"/>
    <w:basedOn w:val="33"/>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90">
    <w:name w:val="Grid Table 4 - Accent 3"/>
    <w:basedOn w:val="33"/>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91">
    <w:name w:val="Grid Table 4 - Accent 4"/>
    <w:basedOn w:val="33"/>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92">
    <w:name w:val="Grid Table 4 - Accent 5"/>
    <w:basedOn w:val="33"/>
    <w:qFormat/>
    <w:uiPriority w:val="5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93">
    <w:name w:val="Grid Table 4 - Accent 6"/>
    <w:basedOn w:val="33"/>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94">
    <w:name w:val="Grid Table 5 Dark"/>
    <w:basedOn w:val="3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5">
    <w:name w:val="Grid Table 5 Dark- Accent 1"/>
    <w:basedOn w:val="3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96">
    <w:name w:val="Grid Table 5 Dark - Accent 2"/>
    <w:basedOn w:val="3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97">
    <w:name w:val="Grid Table 5 Dark - Accent 3"/>
    <w:basedOn w:val="3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98">
    <w:name w:val="Grid Table 5 Dark- Accent 4"/>
    <w:basedOn w:val="3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99">
    <w:name w:val="Grid Table 5 Dark - Accent 5"/>
    <w:basedOn w:val="3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100">
    <w:name w:val="Grid Table 5 Dark - Accent 6"/>
    <w:basedOn w:val="3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01">
    <w:name w:val="Grid Table 6 Colorful"/>
    <w:basedOn w:val="33"/>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2">
    <w:name w:val="Grid Table 6 Colorful - Accent 1"/>
    <w:basedOn w:val="33"/>
    <w:qFormat/>
    <w:uiPriority w:val="99"/>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03">
    <w:name w:val="Grid Table 6 Colorful - Accent 2"/>
    <w:basedOn w:val="33"/>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4">
    <w:name w:val="Grid Table 6 Colorful - Accent 3"/>
    <w:basedOn w:val="33"/>
    <w:qFormat/>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5">
    <w:name w:val="Grid Table 6 Colorful - Accent 4"/>
    <w:basedOn w:val="33"/>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6">
    <w:name w:val="Grid Table 6 Colorful - Accent 5"/>
    <w:basedOn w:val="33"/>
    <w:qFormat/>
    <w:uiPriority w:val="99"/>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07">
    <w:name w:val="Grid Table 6 Colorful - Accent 6"/>
    <w:basedOn w:val="33"/>
    <w:qFormat/>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08">
    <w:name w:val="Grid Table 7 Colorful"/>
    <w:basedOn w:val="33"/>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9">
    <w:name w:val="Grid Table 7 Colorful - Accent 1"/>
    <w:basedOn w:val="33"/>
    <w:qFormat/>
    <w:uiPriority w:val="99"/>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10">
    <w:name w:val="Grid Table 7 Colorful - Accent 2"/>
    <w:basedOn w:val="33"/>
    <w:qFormat/>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11">
    <w:name w:val="Grid Table 7 Colorful - Accent 3"/>
    <w:basedOn w:val="33"/>
    <w:qFormat/>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12">
    <w:name w:val="Grid Table 7 Colorful - Accent 4"/>
    <w:basedOn w:val="33"/>
    <w:qFormat/>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13">
    <w:name w:val="Grid Table 7 Colorful - Accent 5"/>
    <w:basedOn w:val="33"/>
    <w:qFormat/>
    <w:uiPriority w:val="99"/>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14">
    <w:name w:val="Grid Table 7 Colorful - Accent 6"/>
    <w:basedOn w:val="33"/>
    <w:qFormat/>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15">
    <w:name w:val="List Table 1 Light"/>
    <w:basedOn w:val="33"/>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6">
    <w:name w:val="List Table 1 Light - Accent 1"/>
    <w:basedOn w:val="33"/>
    <w:qFormat/>
    <w:uiPriority w:val="99"/>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17">
    <w:name w:val="List Table 1 Light - Accent 2"/>
    <w:basedOn w:val="33"/>
    <w:qFormat/>
    <w:uiPriority w:val="99"/>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18">
    <w:name w:val="List Table 1 Light - Accent 3"/>
    <w:basedOn w:val="33"/>
    <w:qFormat/>
    <w:uiPriority w:val="99"/>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19">
    <w:name w:val="List Table 1 Light - Accent 4"/>
    <w:basedOn w:val="33"/>
    <w:qFormat/>
    <w:uiPriority w:val="99"/>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20">
    <w:name w:val="List Table 1 Light - Accent 5"/>
    <w:basedOn w:val="33"/>
    <w:qFormat/>
    <w:uiPriority w:val="99"/>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21">
    <w:name w:val="List Table 1 Light - Accent 6"/>
    <w:basedOn w:val="33"/>
    <w:qFormat/>
    <w:uiPriority w:val="99"/>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22">
    <w:name w:val="List Table 2"/>
    <w:basedOn w:val="33"/>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3">
    <w:name w:val="List Table 2 - Accent 1"/>
    <w:basedOn w:val="33"/>
    <w:qFormat/>
    <w:uiPriority w:val="99"/>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24">
    <w:name w:val="List Table 2 - Accent 2"/>
    <w:basedOn w:val="33"/>
    <w:qFormat/>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25">
    <w:name w:val="List Table 2 - Accent 3"/>
    <w:basedOn w:val="33"/>
    <w:qFormat/>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26">
    <w:name w:val="List Table 2 - Accent 4"/>
    <w:basedOn w:val="33"/>
    <w:qFormat/>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27">
    <w:name w:val="List Table 2 - Accent 5"/>
    <w:basedOn w:val="33"/>
    <w:qFormat/>
    <w:uiPriority w:val="99"/>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28">
    <w:name w:val="List Table 2 - Accent 6"/>
    <w:basedOn w:val="33"/>
    <w:qFormat/>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29">
    <w:name w:val="List Table 3"/>
    <w:basedOn w:val="33"/>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0">
    <w:name w:val="List Table 3 - Accent 1"/>
    <w:basedOn w:val="33"/>
    <w:qFormat/>
    <w:uiPriority w:val="99"/>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31">
    <w:name w:val="List Table 3 - Accent 2"/>
    <w:basedOn w:val="33"/>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32">
    <w:name w:val="List Table 3 - Accent 3"/>
    <w:basedOn w:val="33"/>
    <w:qFormat/>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33">
    <w:name w:val="List Table 3 - Accent 4"/>
    <w:basedOn w:val="33"/>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34">
    <w:name w:val="List Table 3 - Accent 5"/>
    <w:basedOn w:val="33"/>
    <w:qFormat/>
    <w:uiPriority w:val="99"/>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35">
    <w:name w:val="List Table 3 - Accent 6"/>
    <w:basedOn w:val="33"/>
    <w:qFormat/>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36">
    <w:name w:val="List Table 4"/>
    <w:basedOn w:val="33"/>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7">
    <w:name w:val="List Table 4 - Accent 1"/>
    <w:basedOn w:val="33"/>
    <w:qFormat/>
    <w:uiPriority w:val="9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38">
    <w:name w:val="List Table 4 - Accent 2"/>
    <w:basedOn w:val="33"/>
    <w:qFormat/>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39">
    <w:name w:val="List Table 4 - Accent 3"/>
    <w:basedOn w:val="33"/>
    <w:qFormat/>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40">
    <w:name w:val="List Table 4 - Accent 4"/>
    <w:basedOn w:val="33"/>
    <w:qFormat/>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41">
    <w:name w:val="List Table 4 - Accent 5"/>
    <w:basedOn w:val="33"/>
    <w:qFormat/>
    <w:uiPriority w:val="9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42">
    <w:name w:val="List Table 4 - Accent 6"/>
    <w:basedOn w:val="33"/>
    <w:qFormat/>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43">
    <w:name w:val="List Table 5 Dark"/>
    <w:basedOn w:val="33"/>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4">
    <w:name w:val="List Table 5 Dark - Accent 1"/>
    <w:basedOn w:val="33"/>
    <w:qFormat/>
    <w:uiPriority w:val="99"/>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45">
    <w:name w:val="List Table 5 Dark - Accent 2"/>
    <w:basedOn w:val="33"/>
    <w:qFormat/>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46">
    <w:name w:val="List Table 5 Dark - Accent 3"/>
    <w:basedOn w:val="33"/>
    <w:qFormat/>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47">
    <w:name w:val="List Table 5 Dark - Accent 4"/>
    <w:basedOn w:val="33"/>
    <w:qFormat/>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48">
    <w:name w:val="List Table 5 Dark - Accent 5"/>
    <w:basedOn w:val="33"/>
    <w:qFormat/>
    <w:uiPriority w:val="99"/>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49">
    <w:name w:val="List Table 5 Dark - Accent 6"/>
    <w:basedOn w:val="33"/>
    <w:qFormat/>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50">
    <w:name w:val="List Table 6 Colorful"/>
    <w:basedOn w:val="33"/>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1">
    <w:name w:val="List Table 6 Colorful - Accent 1"/>
    <w:basedOn w:val="33"/>
    <w:qFormat/>
    <w:uiPriority w:val="99"/>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52">
    <w:name w:val="List Table 6 Colorful - Accent 2"/>
    <w:basedOn w:val="33"/>
    <w:qFormat/>
    <w:uiPriority w:val="99"/>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3">
    <w:name w:val="List Table 6 Colorful - Accent 3"/>
    <w:basedOn w:val="33"/>
    <w:qFormat/>
    <w:uiPriority w:val="99"/>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4">
    <w:name w:val="List Table 6 Colorful - Accent 4"/>
    <w:basedOn w:val="33"/>
    <w:qFormat/>
    <w:uiPriority w:val="99"/>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5">
    <w:name w:val="List Table 6 Colorful - Accent 5"/>
    <w:basedOn w:val="33"/>
    <w:qFormat/>
    <w:uiPriority w:val="99"/>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56">
    <w:name w:val="List Table 6 Colorful - Accent 6"/>
    <w:basedOn w:val="33"/>
    <w:qFormat/>
    <w:uiPriority w:val="99"/>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7">
    <w:name w:val="List Table 7 Colorful"/>
    <w:basedOn w:val="33"/>
    <w:qFormat/>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8">
    <w:name w:val="List Table 7 Colorful - Accent 1"/>
    <w:basedOn w:val="33"/>
    <w:qFormat/>
    <w:uiPriority w:val="99"/>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59">
    <w:name w:val="List Table 7 Colorful - Accent 2"/>
    <w:basedOn w:val="33"/>
    <w:qFormat/>
    <w:uiPriority w:val="99"/>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60">
    <w:name w:val="List Table 7 Colorful - Accent 3"/>
    <w:basedOn w:val="33"/>
    <w:qFormat/>
    <w:uiPriority w:val="99"/>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61">
    <w:name w:val="List Table 7 Colorful - Accent 4"/>
    <w:basedOn w:val="33"/>
    <w:qFormat/>
    <w:uiPriority w:val="99"/>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62">
    <w:name w:val="List Table 7 Colorful - Accent 5"/>
    <w:basedOn w:val="33"/>
    <w:qFormat/>
    <w:uiPriority w:val="99"/>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63">
    <w:name w:val="List Table 7 Colorful - Accent 6"/>
    <w:basedOn w:val="33"/>
    <w:qFormat/>
    <w:uiPriority w:val="99"/>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64">
    <w:name w:val="Lined - Accent"/>
    <w:basedOn w:val="33"/>
    <w:qFormat/>
    <w:uiPriority w:val="99"/>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5">
    <w:name w:val="Lined - Accent 1"/>
    <w:basedOn w:val="33"/>
    <w:qFormat/>
    <w:uiPriority w:val="99"/>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66">
    <w:name w:val="Lined - Accent 2"/>
    <w:basedOn w:val="33"/>
    <w:qFormat/>
    <w:uiPriority w:val="99"/>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7">
    <w:name w:val="Lined - Accent 3"/>
    <w:basedOn w:val="33"/>
    <w:qFormat/>
    <w:uiPriority w:val="99"/>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8">
    <w:name w:val="Lined - Accent 4"/>
    <w:basedOn w:val="33"/>
    <w:qFormat/>
    <w:uiPriority w:val="99"/>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69">
    <w:name w:val="Lined - Accent 5"/>
    <w:basedOn w:val="33"/>
    <w:qFormat/>
    <w:uiPriority w:val="99"/>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70">
    <w:name w:val="Lined - Accent 6"/>
    <w:basedOn w:val="33"/>
    <w:qFormat/>
    <w:uiPriority w:val="99"/>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1">
    <w:name w:val="Bordered &amp; Lined - Accent"/>
    <w:basedOn w:val="33"/>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2">
    <w:name w:val="Bordered &amp; Lined - Accent 1"/>
    <w:basedOn w:val="33"/>
    <w:qFormat/>
    <w:uiPriority w:val="99"/>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73">
    <w:name w:val="Bordered &amp; Lined - Accent 2"/>
    <w:basedOn w:val="33"/>
    <w:qFormat/>
    <w:uiPriority w:val="99"/>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74">
    <w:name w:val="Bordered &amp; Lined - Accent 3"/>
    <w:basedOn w:val="33"/>
    <w:qFormat/>
    <w:uiPriority w:val="99"/>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75">
    <w:name w:val="Bordered &amp; Lined - Accent 4"/>
    <w:basedOn w:val="33"/>
    <w:qFormat/>
    <w:uiPriority w:val="99"/>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76">
    <w:name w:val="Bordered &amp; Lined - Accent 5"/>
    <w:basedOn w:val="33"/>
    <w:qFormat/>
    <w:uiPriority w:val="99"/>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77">
    <w:name w:val="Bordered &amp; Lined - Accent 6"/>
    <w:basedOn w:val="33"/>
    <w:qFormat/>
    <w:uiPriority w:val="99"/>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8">
    <w:name w:val="Bordered"/>
    <w:basedOn w:val="33"/>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9">
    <w:name w:val="Bordered - Accent 1"/>
    <w:basedOn w:val="33"/>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80">
    <w:name w:val="Bordered - Accent 2"/>
    <w:basedOn w:val="33"/>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81">
    <w:name w:val="Bordered - Accent 3"/>
    <w:basedOn w:val="33"/>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82">
    <w:name w:val="Bordered - Accent 4"/>
    <w:basedOn w:val="33"/>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83">
    <w:name w:val="Bordered - Accent 5"/>
    <w:basedOn w:val="33"/>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84">
    <w:name w:val="Bordered - Accent 6"/>
    <w:basedOn w:val="33"/>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85">
    <w:name w:val="脚注文本 Char"/>
    <w:link w:val="25"/>
    <w:qFormat/>
    <w:uiPriority w:val="99"/>
    <w:rPr>
      <w:sz w:val="18"/>
    </w:rPr>
  </w:style>
  <w:style w:type="character" w:customStyle="1" w:styleId="186">
    <w:name w:val="尾注文本 Char"/>
    <w:link w:val="18"/>
    <w:qFormat/>
    <w:uiPriority w:val="99"/>
    <w:rPr>
      <w:sz w:val="20"/>
    </w:rPr>
  </w:style>
  <w:style w:type="paragraph" w:customStyle="1" w:styleId="187">
    <w:name w:val="TOC Heading"/>
    <w:unhideWhenUsed/>
    <w:qFormat/>
    <w:uiPriority w:val="39"/>
    <w:rPr>
      <w:rFonts w:ascii="Times New Roman" w:hAnsi="Times New Roman" w:eastAsia="宋体" w:cs="Times New Roman"/>
      <w:lang w:val="en-US" w:eastAsia="zh-CN" w:bidi="ar-SA"/>
    </w:rPr>
  </w:style>
  <w:style w:type="character" w:customStyle="1" w:styleId="188">
    <w:name w:val="批注框文本 Char"/>
    <w:basedOn w:val="35"/>
    <w:link w:val="19"/>
    <w:qFormat/>
    <w:uiPriority w:val="0"/>
    <w:rPr>
      <w:rFonts w:ascii="Calibri" w:hAnsi="Calibri" w:eastAsia="宋体" w:cs="Times New Roman"/>
      <w:sz w:val="18"/>
      <w:szCs w:val="18"/>
    </w:rPr>
  </w:style>
  <w:style w:type="character" w:customStyle="1" w:styleId="189">
    <w:name w:val="页眉 Char"/>
    <w:basedOn w:val="35"/>
    <w:link w:val="21"/>
    <w:qFormat/>
    <w:uiPriority w:val="0"/>
    <w:rPr>
      <w:rFonts w:ascii="Calibri" w:hAnsi="Calibri" w:eastAsia="宋体" w:cs="Times New Roman"/>
      <w:sz w:val="21"/>
      <w:szCs w:val="24"/>
    </w:rPr>
  </w:style>
  <w:style w:type="character" w:customStyle="1" w:styleId="190">
    <w:name w:val="批注文字 Char"/>
    <w:basedOn w:val="35"/>
    <w:link w:val="13"/>
    <w:qFormat/>
    <w:uiPriority w:val="0"/>
    <w:rPr>
      <w:rFonts w:ascii="Calibri" w:hAnsi="Calibri" w:eastAsia="宋体" w:cs="Times New Roman"/>
      <w:sz w:val="21"/>
      <w:szCs w:val="24"/>
    </w:rPr>
  </w:style>
  <w:style w:type="paragraph" w:styleId="191">
    <w:name w:val="List Paragraph"/>
    <w:basedOn w:val="1"/>
    <w:qFormat/>
    <w:uiPriority w:val="99"/>
    <w:pPr>
      <w:ind w:left="720"/>
      <w:contextualSpacing/>
    </w:pPr>
  </w:style>
  <w:style w:type="character" w:customStyle="1" w:styleId="192">
    <w:name w:val="批注主题 Char"/>
    <w:basedOn w:val="190"/>
    <w:link w:val="32"/>
    <w:semiHidden/>
    <w:qFormat/>
    <w:uiPriority w:val="0"/>
    <w:rPr>
      <w:rFonts w:ascii="Calibri" w:hAnsi="Calibri" w:eastAsia="宋体" w:cs="Times New Roman"/>
      <w:b/>
      <w:bCs/>
      <w:sz w:val="21"/>
      <w:szCs w:val="24"/>
    </w:rPr>
  </w:style>
  <w:style w:type="paragraph" w:customStyle="1" w:styleId="193">
    <w:name w:val="修订1"/>
    <w:hidden/>
    <w:semiHidden/>
    <w:qFormat/>
    <w:uiPriority w:val="99"/>
    <w:rPr>
      <w:rFonts w:ascii="Calibri" w:hAnsi="Calibri" w:eastAsia="宋体" w:cs="Times New Roman"/>
      <w:sz w:val="21"/>
      <w:szCs w:val="24"/>
      <w:lang w:val="en-US" w:eastAsia="zh-CN" w:bidi="ar-SA"/>
    </w:rPr>
  </w:style>
  <w:style w:type="paragraph" w:customStyle="1" w:styleId="194">
    <w:name w:val="Revision"/>
    <w:hidden/>
    <w:semiHidden/>
    <w:qFormat/>
    <w:uiPriority w:val="99"/>
    <w:rPr>
      <w:rFonts w:ascii="Calibri" w:hAnsi="Calibri" w:eastAsia="宋体" w:cs="Times New Roman"/>
      <w:sz w:val="21"/>
      <w:szCs w:val="24"/>
      <w:lang w:val="en-US" w:eastAsia="zh-CN" w:bidi="ar-SA"/>
    </w:rPr>
  </w:style>
  <w:style w:type="character" w:customStyle="1" w:styleId="195">
    <w:name w:val="日期 Char"/>
    <w:basedOn w:val="35"/>
    <w:link w:val="17"/>
    <w:semiHidden/>
    <w:qFormat/>
    <w:uiPriority w:val="99"/>
    <w:rPr>
      <w:rFonts w:ascii="Calibri" w:hAnsi="Calibri"/>
      <w:sz w:val="21"/>
      <w:szCs w:val="24"/>
    </w:rPr>
  </w:style>
  <w:style w:type="paragraph" w:customStyle="1" w:styleId="196">
    <w:name w:val="Normal (Justified)"/>
    <w:qFormat/>
    <w:uiPriority w:val="0"/>
    <w:pPr>
      <w:jc w:val="both"/>
    </w:pPr>
    <w:rPr>
      <w:rFonts w:ascii="Times New Roman" w:hAnsi="Times New Roman" w:eastAsia="Times New Roman" w:cs="Times New Roman"/>
      <w:color w:val="000000"/>
      <w:kern w:val="28"/>
      <w:sz w:val="24"/>
      <w:szCs w:val="24"/>
      <w:u w:val="none"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CDYHAMC</Company>
  <Pages>22</Pages>
  <Words>2331</Words>
  <Characters>13288</Characters>
  <Lines>110</Lines>
  <Paragraphs>31</Paragraphs>
  <TotalTime>6</TotalTime>
  <ScaleCrop>false</ScaleCrop>
  <LinksUpToDate>false</LinksUpToDate>
  <CharactersWithSpaces>15588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2023-09-22T08:45:00Z</dcterms:created>
  <dc:creator>Cwhsober</dc:creator>
  <cp:lastModifiedBy>Howie Zhang </cp:lastModifiedBy>
  <cp:lastPrinted>2023-11-02T02:56:00Z</cp:lastPrinted>
  <dcterms:modified xsi:type="dcterms:W3CDTF">2023-12-06T07:20:13Z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028FE85CA3D343B39F02E92A3F8CAA43_13</vt:lpwstr>
  </property>
</Properties>
</file>